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980440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tbl>
      <w:tblPr>
        <w:tblLayout w:type="fixed"/>
        <w:tblInd w:w="1400" w:type="dxa"/>
        <w:tblCellMar>
          <w:top w:w="0" w:type="dxa"/>
          <w:left w:w="0" w:type="dxa"/>
          <w:bottom w:w="0" w:type="dxa"/>
          <w:right w:w="0" w:type="dxa"/>
        </w:tblCellMar>
      </w:tblPr>
      <w:tr>
        <w:trPr>
          <w:trHeight w:val="286"/>
        </w:trPr>
        <w:tc>
          <w:tcPr>
            <w:tcW w:w="2580" w:type="dxa"/>
            <w:vAlign w:val="bottom"/>
          </w:tcPr>
          <w:p>
            <w:pPr>
              <w:spacing w:after="0"/>
              <w:rPr>
                <w:sz w:val="24"/>
                <w:szCs w:val="24"/>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Washington, D.C. 20549</w:t>
            </w:r>
          </w:p>
        </w:tc>
      </w:tr>
      <w:tr>
        <w:trPr>
          <w:trHeight w:val="257"/>
        </w:trPr>
        <w:tc>
          <w:tcPr>
            <w:tcW w:w="2580" w:type="dxa"/>
            <w:vAlign w:val="bottom"/>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1280" w:type="dxa"/>
            <w:vAlign w:val="bottom"/>
          </w:tcPr>
          <w:p>
            <w:pPr>
              <w:spacing w:after="0"/>
              <w:rPr>
                <w:sz w:val="22"/>
                <w:szCs w:val="22"/>
                <w:color w:val="auto"/>
              </w:rPr>
            </w:pPr>
          </w:p>
        </w:tc>
      </w:tr>
      <w:tr>
        <w:trPr>
          <w:trHeight w:val="591"/>
        </w:trPr>
        <w:tc>
          <w:tcPr>
            <w:tcW w:w="2580" w:type="dxa"/>
            <w:vAlign w:val="bottom"/>
          </w:tcPr>
          <w:p>
            <w:pPr>
              <w:spacing w:after="0"/>
              <w:rPr>
                <w:sz w:val="24"/>
                <w:szCs w:val="24"/>
                <w:color w:val="auto"/>
              </w:rPr>
            </w:pPr>
          </w:p>
        </w:tc>
        <w:tc>
          <w:tcPr>
            <w:tcW w:w="3520" w:type="dxa"/>
            <w:vAlign w:val="bottom"/>
            <w:gridSpan w:val="2"/>
          </w:tcPr>
          <w:p>
            <w:pPr>
              <w:jc w:val="center"/>
              <w:ind w:right="1280"/>
              <w:spacing w:after="0"/>
              <w:rPr>
                <w:sz w:val="20"/>
                <w:szCs w:val="20"/>
                <w:color w:val="auto"/>
              </w:rPr>
            </w:pPr>
            <w:r>
              <w:rPr>
                <w:rFonts w:ascii="Times New Roman" w:cs="Times New Roman" w:eastAsia="Times New Roman" w:hAnsi="Times New Roman"/>
                <w:sz w:val="32"/>
                <w:szCs w:val="32"/>
                <w:b w:val="1"/>
                <w:bCs w:val="1"/>
                <w:color w:val="auto"/>
              </w:rPr>
              <w:t>FORM 12b-25</w:t>
            </w:r>
          </w:p>
        </w:tc>
      </w:tr>
      <w:tr>
        <w:trPr>
          <w:trHeight w:val="280"/>
        </w:trPr>
        <w:tc>
          <w:tcPr>
            <w:tcW w:w="2580" w:type="dxa"/>
            <w:vAlign w:val="bottom"/>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1280" w:type="dxa"/>
            <w:vAlign w:val="bottom"/>
          </w:tcPr>
          <w:p>
            <w:pPr>
              <w:spacing w:after="0"/>
              <w:rPr>
                <w:sz w:val="24"/>
                <w:szCs w:val="24"/>
                <w:color w:val="auto"/>
              </w:rPr>
            </w:pPr>
          </w:p>
        </w:tc>
      </w:tr>
      <w:tr>
        <w:trPr>
          <w:trHeight w:val="410"/>
        </w:trPr>
        <w:tc>
          <w:tcPr>
            <w:tcW w:w="6100" w:type="dxa"/>
            <w:vAlign w:val="bottom"/>
            <w:gridSpan w:val="3"/>
          </w:tcPr>
          <w:p>
            <w:pPr>
              <w:jc w:val="center"/>
              <w:ind w:left="1224"/>
              <w:spacing w:after="0"/>
              <w:rPr>
                <w:sz w:val="20"/>
                <w:szCs w:val="20"/>
                <w:color w:val="auto"/>
              </w:rPr>
            </w:pPr>
            <w:r>
              <w:rPr>
                <w:rFonts w:ascii="Times New Roman" w:cs="Times New Roman" w:eastAsia="Times New Roman" w:hAnsi="Times New Roman"/>
                <w:sz w:val="22"/>
                <w:szCs w:val="22"/>
                <w:b w:val="1"/>
                <w:bCs w:val="1"/>
                <w:color w:val="auto"/>
                <w:w w:val="97"/>
              </w:rPr>
              <w:t>NOTIFICATION OF LATE FILING</w:t>
            </w:r>
          </w:p>
        </w:tc>
      </w:tr>
      <w:tr>
        <w:trPr>
          <w:trHeight w:val="366"/>
        </w:trPr>
        <w:tc>
          <w:tcPr>
            <w:tcW w:w="2580" w:type="dxa"/>
            <w:vAlign w:val="bottom"/>
          </w:tcPr>
          <w:p>
            <w:pPr>
              <w:jc w:val="right"/>
              <w:ind w:right="84"/>
              <w:spacing w:after="0" w:line="207" w:lineRule="exact"/>
              <w:rPr>
                <w:sz w:val="20"/>
                <w:szCs w:val="20"/>
                <w:color w:val="auto"/>
              </w:rPr>
            </w:pPr>
            <w:r>
              <w:rPr>
                <w:rFonts w:ascii="Times New Roman" w:cs="Times New Roman" w:eastAsia="Times New Roman" w:hAnsi="Times New Roman"/>
                <w:sz w:val="18"/>
                <w:szCs w:val="18"/>
                <w:color w:val="auto"/>
              </w:rPr>
              <w:t>(Check One)</w:t>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Form 10-K</w:t>
            </w:r>
          </w:p>
        </w:tc>
        <w:tc>
          <w:tcPr>
            <w:tcW w:w="35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11-K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10-Q</w:t>
            </w:r>
          </w:p>
        </w:tc>
      </w:tr>
      <w:tr>
        <w:trPr>
          <w:trHeight w:val="303"/>
        </w:trPr>
        <w:tc>
          <w:tcPr>
            <w:tcW w:w="2580" w:type="dxa"/>
            <w:vAlign w:val="bottom"/>
          </w:tcPr>
          <w:p>
            <w:pPr>
              <w:jc w:val="right"/>
              <w:ind w:right="8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10-D</w:t>
            </w:r>
          </w:p>
        </w:tc>
        <w:tc>
          <w:tcPr>
            <w:tcW w:w="3520" w:type="dxa"/>
            <w:vAlign w:val="bottom"/>
            <w:gridSpan w:val="2"/>
          </w:tcPr>
          <w:p>
            <w:pPr>
              <w:ind w:left="20"/>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N-SAR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N-CSR</w:t>
            </w:r>
          </w:p>
        </w:tc>
      </w:tr>
    </w:tbl>
    <w:p>
      <w:pPr>
        <w:spacing w:after="0" w:line="70"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color w:val="auto"/>
        </w:rPr>
        <w:t>For Period Ended: December 31, 2025</w:t>
      </w:r>
    </w:p>
    <w:p>
      <w:pPr>
        <w:spacing w:after="0" w:line="131" w:lineRule="exact"/>
        <w:rPr>
          <w:sz w:val="24"/>
          <w:szCs w:val="24"/>
          <w:color w:val="auto"/>
        </w:rPr>
      </w:pPr>
    </w:p>
    <w:p>
      <w:pPr>
        <w:ind w:left="3000" w:hanging="245"/>
        <w:spacing w:after="0"/>
        <w:tabs>
          <w:tab w:leader="none" w:pos="3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29" w:lineRule="exact"/>
        <w:rPr>
          <w:rFonts w:ascii="MS PGothic" w:cs="MS PGothic" w:eastAsia="MS PGothic" w:hAnsi="MS PGothic"/>
          <w:sz w:val="18"/>
          <w:szCs w:val="18"/>
          <w:color w:val="auto"/>
        </w:rPr>
      </w:pPr>
    </w:p>
    <w:p>
      <w:pPr>
        <w:ind w:left="3000" w:hanging="245"/>
        <w:spacing w:after="0"/>
        <w:tabs>
          <w:tab w:leader="none" w:pos="3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9" w:lineRule="exact"/>
        <w:rPr>
          <w:rFonts w:ascii="MS PGothic" w:cs="MS PGothic" w:eastAsia="MS PGothic" w:hAnsi="MS PGothic"/>
          <w:sz w:val="18"/>
          <w:szCs w:val="18"/>
          <w:color w:val="auto"/>
        </w:rPr>
      </w:pPr>
    </w:p>
    <w:p>
      <w:pPr>
        <w:ind w:left="3000" w:hanging="245"/>
        <w:spacing w:after="0"/>
        <w:tabs>
          <w:tab w:leader="none" w:pos="3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9" w:lineRule="exact"/>
        <w:rPr>
          <w:rFonts w:ascii="MS PGothic" w:cs="MS PGothic" w:eastAsia="MS PGothic" w:hAnsi="MS PGothic"/>
          <w:sz w:val="18"/>
          <w:szCs w:val="18"/>
          <w:color w:val="auto"/>
        </w:rPr>
      </w:pPr>
    </w:p>
    <w:p>
      <w:pPr>
        <w:ind w:left="3000" w:hanging="245"/>
        <w:spacing w:after="0"/>
        <w:tabs>
          <w:tab w:leader="none" w:pos="3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w:t>
      </w:r>
    </w:p>
    <w:p>
      <w:pPr>
        <w:spacing w:after="0" w:line="9" w:lineRule="exact"/>
        <w:rPr>
          <w:rFonts w:ascii="MS PGothic" w:cs="MS PGothic" w:eastAsia="MS PGothic" w:hAnsi="MS PGothic"/>
          <w:sz w:val="18"/>
          <w:szCs w:val="18"/>
          <w:color w:val="auto"/>
        </w:rPr>
      </w:pPr>
    </w:p>
    <w:p>
      <w:pPr>
        <w:ind w:left="3000" w:hanging="245"/>
        <w:spacing w:after="0"/>
        <w:tabs>
          <w:tab w:leader="none" w:pos="30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N-SAR</w:t>
      </w:r>
    </w:p>
    <w:p>
      <w:pPr>
        <w:spacing w:after="0" w:line="111"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18"/>
          <w:szCs w:val="18"/>
          <w:color w:val="auto"/>
        </w:rPr>
        <w:t>For the Transition Period Ended:</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-324485</wp:posOffset>
            </wp:positionH>
            <wp:positionV relativeFrom="paragraph">
              <wp:posOffset>497205</wp:posOffset>
            </wp:positionV>
            <wp:extent cx="713232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00" w:lineRule="exact"/>
        <w:rPr>
          <w:sz w:val="24"/>
          <w:szCs w:val="24"/>
          <w:color w:val="auto"/>
        </w:rPr>
      </w:pPr>
    </w:p>
    <w:p>
      <w:pPr>
        <w:spacing w:after="0" w:line="210"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39"/>
          <w:szCs w:val="39"/>
          <w:b w:val="1"/>
          <w:bCs w:val="1"/>
          <w:color w:val="auto"/>
        </w:rPr>
        <w:t>CAMBIUM NETWORKS CORPORATION</w:t>
      </w:r>
    </w:p>
    <w:p>
      <w:pPr>
        <w:spacing w:after="0" w:line="52"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(Full Name of Registrant)</w:t>
      </w:r>
    </w:p>
    <w:p>
      <w:pPr>
        <w:spacing w:after="0" w:line="200" w:lineRule="exact"/>
        <w:rPr>
          <w:sz w:val="24"/>
          <w:szCs w:val="24"/>
          <w:color w:val="auto"/>
        </w:rPr>
      </w:pPr>
    </w:p>
    <w:p>
      <w:pPr>
        <w:spacing w:after="0" w:line="217"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3"/>
          <w:szCs w:val="13"/>
          <w:b w:val="1"/>
          <w:bCs w:val="1"/>
          <w:color w:val="auto"/>
        </w:rPr>
        <w:t>(Former Name if Applicable)</w:t>
      </w:r>
    </w:p>
    <w:p>
      <w:pPr>
        <w:spacing w:after="0" w:line="200" w:lineRule="exact"/>
        <w:rPr>
          <w:sz w:val="24"/>
          <w:szCs w:val="24"/>
          <w:color w:val="auto"/>
        </w:rPr>
      </w:pPr>
    </w:p>
    <w:p>
      <w:pPr>
        <w:spacing w:after="0" w:line="209"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c/o Cambium Networks, Inc.</w:t>
      </w:r>
    </w:p>
    <w:p>
      <w:pPr>
        <w:spacing w:after="0" w:line="31"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2000 Center Drive, Suite East A401</w:t>
      </w:r>
    </w:p>
    <w:p>
      <w:pPr>
        <w:spacing w:after="0" w:line="9" w:lineRule="exact"/>
        <w:rPr>
          <w:sz w:val="24"/>
          <w:szCs w:val="24"/>
          <w:color w:val="auto"/>
        </w:rPr>
      </w:pPr>
    </w:p>
    <w:p>
      <w:pPr>
        <w:ind w:left="338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 (</w:t>
      </w:r>
      <w:r>
        <w:rPr>
          <w:rFonts w:ascii="Times New Roman" w:cs="Times New Roman" w:eastAsia="Times New Roman" w:hAnsi="Times New Roman"/>
          <w:sz w:val="13"/>
          <w:szCs w:val="13"/>
          <w:b w:val="1"/>
          <w:bCs w:val="1"/>
          <w:i w:val="1"/>
          <w:iCs w:val="1"/>
          <w:color w:val="auto"/>
        </w:rPr>
        <w:t>Street and Number</w:t>
      </w:r>
      <w:r>
        <w:rPr>
          <w:rFonts w:ascii="Times New Roman" w:cs="Times New Roman" w:eastAsia="Times New Roman" w:hAnsi="Times New Roman"/>
          <w:sz w:val="13"/>
          <w:szCs w:val="13"/>
          <w:b w:val="1"/>
          <w:bCs w:val="1"/>
          <w:color w:val="auto"/>
        </w:rPr>
        <w:t>))</w:t>
      </w:r>
    </w:p>
    <w:p>
      <w:pPr>
        <w:spacing w:after="0" w:line="19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b w:val="1"/>
          <w:bCs w:val="1"/>
          <w:color w:val="auto"/>
        </w:rPr>
        <w:t>Hoffman Estates, Illinois 60092</w:t>
      </w:r>
    </w:p>
    <w:p>
      <w:pPr>
        <w:spacing w:after="0" w:line="3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3"/>
          <w:szCs w:val="13"/>
          <w:b w:val="1"/>
          <w:bCs w:val="1"/>
          <w:color w:val="auto"/>
        </w:rPr>
        <w:t>(City, State and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-337185</wp:posOffset>
            </wp:positionH>
            <wp:positionV relativeFrom="paragraph">
              <wp:posOffset>466725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19"/>
          </w:cols>
          <w:pgMar w:left="840" w:top="1440" w:right="1440"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t>PART II — RULES 12b-25(b) AND (c)</w:t>
      </w:r>
    </w:p>
    <w:p>
      <w:pPr>
        <w:spacing w:after="0" w:line="175" w:lineRule="exact"/>
        <w:rPr>
          <w:sz w:val="20"/>
          <w:szCs w:val="20"/>
          <w:color w:val="auto"/>
        </w:rPr>
      </w:pPr>
    </w:p>
    <w:p>
      <w:pPr>
        <w:ind w:right="660" w:firstLine="509"/>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148" w:lineRule="exact"/>
        <w:rPr>
          <w:sz w:val="20"/>
          <w:szCs w:val="20"/>
          <w:color w:val="auto"/>
        </w:rPr>
      </w:pPr>
    </w:p>
    <w:p>
      <w:pPr>
        <w:ind w:left="1400" w:hanging="690"/>
        <w:spacing w:after="0"/>
        <w:tabs>
          <w:tab w:leader="none" w:pos="14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171" w:lineRule="exact"/>
        <w:rPr>
          <w:rFonts w:ascii="Times New Roman" w:cs="Times New Roman" w:eastAsia="Times New Roman" w:hAnsi="Times New Roman"/>
          <w:sz w:val="18"/>
          <w:szCs w:val="18"/>
          <w:color w:val="auto"/>
        </w:rPr>
      </w:pPr>
    </w:p>
    <w:p>
      <w:pPr>
        <w:ind w:left="1400" w:hanging="690"/>
        <w:spacing w:after="0"/>
        <w:tabs>
          <w:tab w:leader="none" w:pos="14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N-SAR or Form N-CSR,</w:t>
      </w:r>
    </w:p>
    <w:p>
      <w:pPr>
        <w:spacing w:after="0" w:line="27" w:lineRule="exact"/>
        <w:rPr>
          <w:rFonts w:ascii="Times New Roman" w:cs="Times New Roman" w:eastAsia="Times New Roman" w:hAnsi="Times New Roman"/>
          <w:sz w:val="18"/>
          <w:szCs w:val="18"/>
          <w:color w:val="auto"/>
        </w:rPr>
      </w:pPr>
    </w:p>
    <w:p>
      <w:pPr>
        <w:ind w:left="1400" w:right="100" w:hanging="1285"/>
        <w:spacing w:after="0" w:line="200" w:lineRule="auto"/>
        <w:tabs>
          <w:tab w:leader="none" w:pos="1400" w:val="left"/>
        </w:tabs>
        <w:numPr>
          <w:ilvl w:val="0"/>
          <w:numId w:val="2"/>
        </w:numPr>
        <w:rPr>
          <w:rFonts w:ascii="MS PGothic" w:cs="MS PGothic" w:eastAsia="MS PGothic" w:hAnsi="MS PGothic"/>
          <w:sz w:val="36"/>
          <w:szCs w:val="36"/>
          <w:color w:val="auto"/>
          <w:vertAlign w:val="subscript"/>
        </w:rPr>
      </w:pPr>
      <w:r>
        <w:rPr>
          <w:rFonts w:ascii="Times New Roman" w:cs="Times New Roman" w:eastAsia="Times New Roman" w:hAnsi="Times New Roman"/>
          <w:sz w:val="18"/>
          <w:szCs w:val="18"/>
          <w:color w:val="auto"/>
        </w:rPr>
        <w:t>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46" w:lineRule="exact"/>
        <w:rPr>
          <w:rFonts w:ascii="MS PGothic" w:cs="MS PGothic" w:eastAsia="MS PGothic" w:hAnsi="MS PGothic"/>
          <w:sz w:val="36"/>
          <w:szCs w:val="36"/>
          <w:color w:val="auto"/>
          <w:vertAlign w:val="subscript"/>
        </w:rPr>
      </w:pPr>
    </w:p>
    <w:p>
      <w:pPr>
        <w:ind w:left="1400" w:hanging="690"/>
        <w:spacing w:after="0"/>
        <w:tabs>
          <w:tab w:leader="none" w:pos="14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-1010920</wp:posOffset>
            </wp:positionV>
            <wp:extent cx="8255" cy="1028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10287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29"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N-SAR, N-CSR, or the transition report or portion thereof, could not be filed within the prescribed time period.</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Cambium Networks Corporation (the “Company”) has determined that it is unable to file, without unreasonable effort or expense, its Annual Report on Form 10-K for the fiscal year ended December 31, 2025 (the “2025 Form 10-K”) by the prescribed filing due date.</w:t>
      </w:r>
    </w:p>
    <w:p>
      <w:pPr>
        <w:spacing w:after="0" w:line="54" w:lineRule="exact"/>
        <w:rPr>
          <w:sz w:val="20"/>
          <w:szCs w:val="20"/>
          <w:color w:val="auto"/>
        </w:rPr>
      </w:pPr>
    </w:p>
    <w:p>
      <w:pPr>
        <w:ind w:right="40" w:firstLine="554"/>
        <w:spacing w:after="0" w:line="254" w:lineRule="auto"/>
        <w:rPr>
          <w:sz w:val="20"/>
          <w:szCs w:val="20"/>
          <w:color w:val="auto"/>
        </w:rPr>
      </w:pPr>
      <w:r>
        <w:rPr>
          <w:rFonts w:ascii="Times New Roman" w:cs="Times New Roman" w:eastAsia="Times New Roman" w:hAnsi="Times New Roman"/>
          <w:sz w:val="18"/>
          <w:szCs w:val="18"/>
          <w:color w:val="auto"/>
        </w:rPr>
        <w:t xml:space="preserve">As disclosed on August 11, 2025, on the Current Report on Form 8-K, the Audit Committee of the Board of Directors of the Company, after discussion with management, concluded that the Company’s previously issued financial statements and related disclosures for (i) the audited consolidated financial statements for the fiscal years ended December 31, 2022 and December 31, 2023 included in the Company's Annual Report on Form 10-K for the fiscal year ended December 31, 2023 and (ii) the unaudited condensed consolidated financial statements included in the Company’s Quarterly Reports on Form 10-Q for the periods ended March 31, 2023, June 30, 2023, September 30, 2023, March 31, 2024, June 30, 2024 and September 30, 2024 (collectively, the “Non-Reliance Periods”) should be restated and should no longer be relied upon due to errors in such financial statements primarily related to variable consideration, including the estimates for sales returns and customer rebates, under Accounting Standards Codification 606,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In addition, investors should no longer rely upon any press releases, earnings releases, investor presentations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information or other communication that cover any period during the Non-Reliance Periods.</w:t>
      </w:r>
    </w:p>
    <w:p>
      <w:pPr>
        <w:spacing w:after="0" w:line="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the Company has not yet filed its Annual Report on Form 10-K for the year ended December 31, 2024 or its Quarterly Reports on Form 10-Q for the periods ended March 31, 2025, June 30, 2025 and September 30, 2025 (together with the Annual Report on Form 10-K for the year ended December 31, 2025, the “Delinquent Reports”), and because the restatement process remains ongoing, the Company is unable to file the 2025 Form 10-K at this time. The Company continues to work diligently towards completing the restatement and filing the Delinquent Reports as soon as practicable.</w:t>
      </w:r>
    </w:p>
    <w:p>
      <w:pPr>
        <w:spacing w:after="0" w:line="7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expects to issue its full financial results for the fiscal year ended December 31, 2025 when the financial reporting process along with the review of the results and the related audit are completed.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200" w:lineRule="exact"/>
        <w:rPr>
          <w:sz w:val="20"/>
          <w:szCs w:val="20"/>
          <w:color w:val="auto"/>
        </w:rPr>
      </w:pPr>
    </w:p>
    <w:p>
      <w:pPr>
        <w:spacing w:after="0" w:line="245"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ally</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au</w:t>
            </w:r>
          </w:p>
        </w:tc>
        <w:tc>
          <w:tcPr>
            <w:tcW w:w="260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b w:val="1"/>
                <w:bCs w:val="1"/>
                <w:color w:val="auto"/>
              </w:rPr>
              <w:t>(888)</w:t>
            </w:r>
          </w:p>
        </w:tc>
        <w:tc>
          <w:tcPr>
            <w:tcW w:w="4000" w:type="dxa"/>
            <w:vAlign w:val="bottom"/>
            <w:gridSpan w:val="2"/>
          </w:tcPr>
          <w:p>
            <w:pPr>
              <w:jc w:val="right"/>
              <w:ind w:right="1328"/>
              <w:spacing w:after="0"/>
              <w:rPr>
                <w:sz w:val="20"/>
                <w:szCs w:val="20"/>
                <w:color w:val="auto"/>
              </w:rPr>
            </w:pPr>
            <w:r>
              <w:rPr>
                <w:rFonts w:ascii="Times New Roman" w:cs="Times New Roman" w:eastAsia="Times New Roman" w:hAnsi="Times New Roman"/>
                <w:sz w:val="18"/>
                <w:szCs w:val="18"/>
                <w:b w:val="1"/>
                <w:bCs w:val="1"/>
                <w:color w:val="auto"/>
              </w:rPr>
              <w:t>863-5250</w:t>
            </w:r>
          </w:p>
        </w:tc>
      </w:tr>
      <w:tr>
        <w:trPr>
          <w:trHeight w:val="184"/>
        </w:trPr>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520" w:type="dxa"/>
            <w:vAlign w:val="bottom"/>
          </w:tcPr>
          <w:p>
            <w:pPr>
              <w:spacing w:after="0"/>
              <w:rPr>
                <w:sz w:val="15"/>
                <w:szCs w:val="15"/>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500" w:type="dxa"/>
            <w:vAlign w:val="bottom"/>
          </w:tcPr>
          <w:p>
            <w:pPr>
              <w:spacing w:after="0"/>
              <w:rPr>
                <w:sz w:val="15"/>
                <w:szCs w:val="15"/>
                <w:color w:val="auto"/>
              </w:rPr>
            </w:pPr>
          </w:p>
        </w:tc>
        <w:tc>
          <w:tcPr>
            <w:tcW w:w="3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(Telephone Number)</w:t>
            </w:r>
          </w:p>
        </w:tc>
      </w:tr>
    </w:tbl>
    <w:p>
      <w:pPr>
        <w:spacing w:after="0" w:line="156" w:lineRule="exact"/>
        <w:rPr>
          <w:sz w:val="20"/>
          <w:szCs w:val="20"/>
          <w:color w:val="auto"/>
        </w:rPr>
      </w:pPr>
    </w:p>
    <w:p>
      <w:pPr>
        <w:ind w:left="520" w:right="40" w:hanging="512"/>
        <w:spacing w:after="0" w:line="273" w:lineRule="auto"/>
        <w:tabs>
          <w:tab w:leader="none" w:pos="5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w:t>
      </w:r>
    </w:p>
    <w:p>
      <w:pPr>
        <w:spacing w:after="0" w:line="1" w:lineRule="exact"/>
        <w:rPr>
          <w:sz w:val="20"/>
          <w:szCs w:val="20"/>
          <w:color w:val="auto"/>
        </w:rPr>
      </w:pPr>
    </w:p>
    <w:p>
      <w:pPr>
        <w:ind w:left="520"/>
        <w:spacing w:after="0" w:line="207" w:lineRule="exact"/>
        <w:tabs>
          <w:tab w:leader="none" w:pos="2220" w:val="left"/>
        </w:tabs>
        <w:rPr>
          <w:sz w:val="20"/>
          <w:szCs w:val="20"/>
          <w:color w:val="auto"/>
        </w:rPr>
      </w:pPr>
      <w:r>
        <w:rPr>
          <w:rFonts w:ascii="Times New Roman" w:cs="Times New Roman" w:eastAsia="Times New Roman" w:hAnsi="Times New Roman"/>
          <w:sz w:val="18"/>
          <w:szCs w:val="18"/>
          <w:color w:val="auto"/>
        </w:rPr>
        <w:t>no, identify report(s).</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1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Annual Report on Form 10-K for the year ended December 31, 2024</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Quarterly Report on Form 10-Q for the period ended March 31, 2025</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Quarterly Report on Form 10-Q for the period ended June 30, 2025</w:t>
      </w:r>
    </w:p>
    <w:p>
      <w:pPr>
        <w:spacing w:after="0" w:line="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Quarterly Report on Form 10-Q for the period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4" w:right="359" w:bottom="1440" w:gutter="0" w:footer="0" w:header="0"/>
        </w:sectPr>
      </w:pPr>
    </w:p>
    <w:bookmarkStart w:id="2" w:name="page3"/>
    <w:bookmarkEnd w:id="2"/>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 reflected by the</w:t>
      </w:r>
    </w:p>
    <w:p>
      <w:pPr>
        <w:spacing w:after="0" w:line="22" w:lineRule="exact"/>
        <w:rPr>
          <w:sz w:val="20"/>
          <w:szCs w:val="20"/>
          <w:color w:val="auto"/>
        </w:rPr>
      </w:pPr>
    </w:p>
    <w:p>
      <w:pPr>
        <w:ind w:left="520"/>
        <w:spacing w:after="0" w:line="207" w:lineRule="exact"/>
        <w:tabs>
          <w:tab w:leader="none" w:pos="6040" w:val="left"/>
        </w:tabs>
        <w:rPr>
          <w:sz w:val="20"/>
          <w:szCs w:val="20"/>
          <w:color w:val="auto"/>
        </w:rPr>
      </w:pPr>
      <w:r>
        <w:rPr>
          <w:rFonts w:ascii="Times New Roman" w:cs="Times New Roman" w:eastAsia="Times New Roman" w:hAnsi="Times New Roman"/>
          <w:sz w:val="18"/>
          <w:szCs w:val="18"/>
          <w:color w:val="auto"/>
        </w:rPr>
        <w:t>earnings statements to be included in the subject report or portion thereof?</w:t>
      </w:r>
      <w:r>
        <w:rPr>
          <w:sz w:val="20"/>
          <w:szCs w:val="20"/>
          <w:color w:val="auto"/>
        </w:rPr>
        <w:tab/>
      </w:r>
      <w:r>
        <w:rPr>
          <w:rFonts w:ascii="MS PGothic" w:cs="MS PGothic" w:eastAsia="MS PGothic" w:hAnsi="MS PGothic"/>
          <w:sz w:val="18"/>
          <w:szCs w:val="18"/>
          <w:color w:val="auto"/>
        </w:rPr>
        <w:t xml:space="preserve">☐ </w:t>
      </w:r>
      <w:r>
        <w:rPr>
          <w:rFonts w:ascii="Times New Roman" w:cs="Times New Roman" w:eastAsia="Times New Roman" w:hAnsi="Times New Roman"/>
          <w:sz w:val="18"/>
          <w:szCs w:val="18"/>
          <w:color w:val="auto"/>
        </w:rPr>
        <w:t>Yes</w:t>
      </w:r>
      <w:r>
        <w:rPr>
          <w:rFonts w:ascii="MS PGothic" w:cs="MS PGothic" w:eastAsia="MS PGothic" w:hAnsi="MS PGothic"/>
          <w:sz w:val="18"/>
          <w:szCs w:val="18"/>
          <w:color w:val="auto"/>
        </w:rPr>
        <w:t xml:space="preserve">  ☒ </w:t>
      </w:r>
      <w:r>
        <w:rPr>
          <w:rFonts w:ascii="Times New Roman" w:cs="Times New Roman" w:eastAsia="Times New Roman" w:hAnsi="Times New Roman"/>
          <w:sz w:val="18"/>
          <w:szCs w:val="18"/>
          <w:color w:val="auto"/>
        </w:rPr>
        <w:t>No</w:t>
      </w:r>
    </w:p>
    <w:p>
      <w:pPr>
        <w:spacing w:after="0" w:line="212" w:lineRule="exact"/>
        <w:rPr>
          <w:sz w:val="20"/>
          <w:szCs w:val="20"/>
          <w:color w:val="auto"/>
        </w:rPr>
      </w:pPr>
    </w:p>
    <w:p>
      <w:pPr>
        <w:ind w:left="520" w:right="360"/>
        <w:spacing w:after="0" w:line="282" w:lineRule="auto"/>
        <w:rPr>
          <w:sz w:val="20"/>
          <w:szCs w:val="20"/>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162" w:lineRule="exact"/>
        <w:rPr>
          <w:sz w:val="20"/>
          <w:szCs w:val="20"/>
          <w:color w:val="auto"/>
        </w:rPr>
      </w:pPr>
    </w:p>
    <w:p>
      <w:pPr>
        <w:ind w:left="520" w:right="120" w:firstLine="509"/>
        <w:spacing w:after="0" w:line="258" w:lineRule="auto"/>
        <w:rPr>
          <w:sz w:val="20"/>
          <w:szCs w:val="20"/>
          <w:color w:val="auto"/>
        </w:rPr>
      </w:pPr>
      <w:r>
        <w:rPr>
          <w:rFonts w:ascii="Times New Roman" w:cs="Times New Roman" w:eastAsia="Times New Roman" w:hAnsi="Times New Roman"/>
          <w:sz w:val="18"/>
          <w:szCs w:val="18"/>
          <w:color w:val="auto"/>
        </w:rPr>
        <w:t>As a result of the ongoing restatement process, The Company has not completed its financial statements for the year ended December 31, 2024 and December 31, 2025. Accordingly, the Company cannot at this time provide an estimate of changes in its results of operations for the year ended December 31, 2025, compared to its results of operations for the year ended December 31, 2024. Notwithstanding the foregoing, the Company anticipates that is Annual Report on Form 10-K for the fiscal years ended December 31, 2024 and 2025 will include disclosures around substantial doubt regarding the Company's ability to continue as a going concern.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Certain matters discussed constitute forward-looking statements within the meaning of the federal securities laws. All statements contained in this notification that do not relate to matters of historical fact should be considered forward-looking statements, including, without limitation, statements regarding anticipated results for the fiscal year ended December 31, 2025 and the Company's expectations regarding the timing of the filing of the Forms 10-K and Forms 10-Q. These forward-looking statements are based on management's current expectations.</w:t>
      </w:r>
    </w:p>
    <w:p>
      <w:pPr>
        <w:spacing w:after="0" w:line="72"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These statements are neither promises nor guarantees, but involve known and unknown risks, uncertainties and other important factors that may cause the Company's actual results, performance or achievements to be materially different from any future results, performance or achievements expressed or implied by the forward-looking statements. Important factors that could cause actual results to differ materially from expectations include, but are not limited to the effectiveness of the Company's internal control over financial reporting and disclosure controls and procedures; the Company’s ability to continue as a going concern; the risk that the completion and filing of the Form 10-K will take longer than expected; additional information that may arise during the finalization of the Form 10-K; and other risks and uncertainties included in the reports on Forms 10-K, 10-Q and 8-K and in other filings the Company makes with the Securities and Exchange Commission from time to time, available at www.sec.gov. The Company undertakes no obligation to update publicly any forward-looking statements, whether as a result of future events, new information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CAMBIUM NETWORKS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b w:val="1"/>
          <w:bCs w:val="1"/>
          <w:color w:val="auto"/>
        </w:rPr>
        <w:t>(Name of Registrant as Specified in Charter)</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ectPr>
          <w:pgSz w:w="11900" w:h="16838" w:orient="portrait"/>
          <w:cols w:equalWidth="0" w:num="1">
            <w:col w:w="11220"/>
          </w:cols>
          <w:pgMar w:left="320" w:top="769" w:right="359" w:bottom="1440" w:gutter="0" w:footer="0" w:header="0"/>
        </w:sectPr>
      </w:pPr>
    </w:p>
    <w:p>
      <w:pPr>
        <w:spacing w:after="0" w:line="225"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7"/>
          <w:szCs w:val="17"/>
          <w:color w:val="auto"/>
        </w:rPr>
        <w:t>Date: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2026</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S</w:t>
      </w:r>
      <w:r>
        <w:rPr>
          <w:rFonts w:ascii="Times New Roman" w:cs="Times New Roman" w:eastAsia="Times New Roman" w:hAnsi="Times New Roman"/>
          <w:sz w:val="12"/>
          <w:szCs w:val="12"/>
          <w:color w:val="auto"/>
        </w:rPr>
        <w:t>ally</w:t>
      </w:r>
      <w:r>
        <w:rPr>
          <w:rFonts w:ascii="Times New Roman" w:cs="Times New Roman" w:eastAsia="Times New Roman" w:hAnsi="Times New Roman"/>
          <w:sz w:val="18"/>
          <w:szCs w:val="18"/>
          <w:color w:val="auto"/>
        </w:rPr>
        <w:t xml:space="preserve"> R</w:t>
      </w:r>
      <w:r>
        <w:rPr>
          <w:rFonts w:ascii="Times New Roman" w:cs="Times New Roman" w:eastAsia="Times New Roman" w:hAnsi="Times New Roman"/>
          <w:sz w:val="12"/>
          <w:szCs w:val="12"/>
          <w:color w:val="auto"/>
        </w:rPr>
        <w:t>au</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Sally Rau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Legal Officer</w:t>
      </w:r>
    </w:p>
    <w:p>
      <w:pPr>
        <w:spacing w:after="0" w:line="200" w:lineRule="exact"/>
        <w:rPr>
          <w:sz w:val="20"/>
          <w:szCs w:val="20"/>
          <w:color w:val="auto"/>
        </w:rPr>
      </w:pPr>
    </w:p>
    <w:p>
      <w:pPr>
        <w:sectPr>
          <w:pgSz w:w="11900" w:h="16838" w:orient="portrait"/>
          <w:cols w:equalWidth="0" w:num="4">
            <w:col w:w="560" w:space="180"/>
            <w:col w:w="4220" w:space="720"/>
            <w:col w:w="480" w:space="220"/>
            <w:col w:w="4840"/>
          </w:cols>
          <w:pgMar w:left="320" w:top="769" w:right="359" w:bottom="1440" w:gutter="0" w:footer="0" w:header="0"/>
          <w:type w:val="continuous"/>
        </w:sectPr>
      </w:pPr>
    </w:p>
    <w:p>
      <w:pPr>
        <w:spacing w:after="0" w:line="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856615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217805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380365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76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2)"/>
      <w:numFmt w:val="lowerLetter"/>
      <w:start w:val="1"/>
    </w:lvl>
  </w:abstractNum>
  <w:abstractNum w:abstractNumId="2">
    <w:nsid w:val="238E1F29"/>
    <w:multiLevelType w:val="hybridMultilevel"/>
    <w:lvl w:ilvl="0">
      <w:lvlJc w:val="left"/>
      <w:lvlText w:val="☒"/>
      <w:numFmt w:val="bullet"/>
      <w:start w:val="1"/>
    </w:lvl>
    <w:lvl w:ilvl="1">
      <w:lvlJc w:val="left"/>
      <w:lvlText w:val="(%2)"/>
      <w:numFmt w:val="lowerLetter"/>
      <w:start w:val="3"/>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2"/>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2026-03-31T16:34:05Z</dcterms:created>
  <dcterms:modified xsi:type="dcterms:W3CDTF">2026-03-31T16:34:05Z</dcterms:modified>
</cp:coreProperties>
</file>