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mbmf-20250630.htm"/>
      <w:bookmarkStart w:id="1" w:name="kscmbmf20250630"/>
      <w:bookmarkEnd w:id="0"/>
      <w:bookmarkEnd w:id="1"/>
      <w:r>
        <w:rPr/>
        <w:t> </w:t>
      </w:r>
    </w:p>
    <w:p>
      <w:pPr>
        <w:pStyle w:val="TextBody"/>
        <w:pBdr>
          <w:bottom w:val="doub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511"/>
        <w:gridCol w:w="9694"/>
      </w:tblGrid>
      <w:tr>
        <w:trPr/>
        <w:tc>
          <w:tcPr>
            <w:tcW w:w="511" w:type="dxa"/>
            <w:tcBorders/>
            <w:vAlign w:val="center"/>
          </w:tcPr>
          <w:p>
            <w:pPr>
              <w:pStyle w:val="TableContents"/>
              <w:bidi w:val="0"/>
              <w:spacing w:before="0" w:after="283"/>
              <w:jc w:val="left"/>
              <w:rPr>
                <w:sz w:val="4"/>
                <w:szCs w:val="4"/>
              </w:rPr>
            </w:pPr>
            <w:r>
              <w:rPr>
                <w:sz w:val="4"/>
                <w:szCs w:val="4"/>
              </w:rPr>
            </w:r>
          </w:p>
        </w:tc>
        <w:tc>
          <w:tcPr>
            <w:tcW w:w="9694"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969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511"/>
        <w:gridCol w:w="9694"/>
      </w:tblGrid>
      <w:tr>
        <w:trPr/>
        <w:tc>
          <w:tcPr>
            <w:tcW w:w="511" w:type="dxa"/>
            <w:tcBorders/>
            <w:vAlign w:val="center"/>
          </w:tcPr>
          <w:p>
            <w:pPr>
              <w:pStyle w:val="TableContents"/>
              <w:bidi w:val="0"/>
              <w:spacing w:before="0" w:after="283"/>
              <w:jc w:val="left"/>
              <w:rPr>
                <w:sz w:val="4"/>
                <w:szCs w:val="4"/>
              </w:rPr>
            </w:pPr>
            <w:r>
              <w:rPr>
                <w:sz w:val="4"/>
                <w:szCs w:val="4"/>
              </w:rPr>
            </w:r>
          </w:p>
        </w:tc>
        <w:tc>
          <w:tcPr>
            <w:tcW w:w="9694"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969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001-38952</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48"/>
        </w:rPr>
      </w:pPr>
      <w:r>
        <w:rPr>
          <w:rFonts w:ascii="Times New Roman" w:hAnsi="Times New Roman"/>
          <w:b/>
          <w:color w:val="000000"/>
          <w:sz w:val="48"/>
        </w:rPr>
        <w:t>CAMBIUM NETWORKS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8443" w:type="dxa"/>
        <w:jc w:val="left"/>
        <w:tblInd w:w="0" w:type="dxa"/>
        <w:tblLayout w:type="fixed"/>
        <w:tblCellMar>
          <w:top w:w="28" w:type="dxa"/>
          <w:left w:w="28" w:type="dxa"/>
          <w:bottom w:w="28" w:type="dxa"/>
          <w:right w:w="28" w:type="dxa"/>
        </w:tblCellMar>
      </w:tblPr>
      <w:tblGrid>
        <w:gridCol w:w="4306"/>
        <w:gridCol w:w="146"/>
        <w:gridCol w:w="39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4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43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4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 Cambium Networks, Inc.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2000 Center Drive, Suite East A401</w:t>
            </w:r>
          </w:p>
          <w:p>
            <w:pPr>
              <w:pStyle w:val="TableContents"/>
              <w:bidi w:val="0"/>
              <w:spacing w:before="0" w:after="283"/>
              <w:jc w:val="center"/>
              <w:rPr>
                <w:rFonts w:ascii="Times New Roman" w:hAnsi="Times New Roman"/>
                <w:sz w:val="20"/>
              </w:rPr>
            </w:pPr>
            <w:r>
              <w:rPr>
                <w:rFonts w:ascii="Times New Roman" w:hAnsi="Times New Roman"/>
                <w:b/>
                <w:color w:val="000000"/>
                <w:sz w:val="20"/>
              </w:rPr>
              <w:t>Hoffman Estates, Illinois</w:t>
            </w:r>
            <w:r>
              <w:rPr>
                <w:rFonts w:ascii="Times New Roman" w:hAnsi="Times New Roman"/>
                <w:color w:val="000000"/>
                <w:sz w:val="20"/>
              </w:rPr>
              <w:t xml:space="preserve"> </w:t>
            </w:r>
            <w:r>
              <w:rPr>
                <w:rFonts w:ascii="Times New Roman" w:hAnsi="Times New Roman"/>
                <w:b/>
                <w:color w:val="000000"/>
                <w:sz w:val="20"/>
              </w:rPr>
              <w:t>60192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(345) 814-7600</w:t>
            </w:r>
          </w:p>
        </w:tc>
      </w:tr>
      <w:tr>
        <w:trPr/>
        <w:tc>
          <w:tcPr>
            <w:tcW w:w="4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bl>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2941"/>
        <w:gridCol w:w="146"/>
        <w:gridCol w:w="946"/>
        <w:gridCol w:w="146"/>
        <w:gridCol w:w="33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Ordinary shares, $0.0001 par value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CMBMF*</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N/A (OTC Markets Group, Inc.)*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 As previously disclosed on March 26, 2026, following receipt of a delisting notice from The Nasdaq Stock Market LLC, trading in the Company's ordinary shares on the Nasdaq Global Market was suspended on March 27, 2026 and on March 30, 2026, the Company's ordinary shares commenced trading on the OTC Experts Market under the symbol "CMBMF".</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April 23, 2026, the registrant had 29,031,302 ordinary shares, $0.0001 par value per share,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hareh">
              <w:r>
                <w:rPr>
                  <w:rStyle w:val="InternetLink"/>
                  <w:rFonts w:ascii="Times New Roman" w:hAnsi="Times New Roman"/>
                  <w:color w:val="0000FF"/>
                  <w:sz w:val="20"/>
                  <w:u w:val="single"/>
                </w:rPr>
                <w:t>Consolidated Statements of Shareholders’ Equity (Deficit)</w:t>
              </w:r>
            </w:hyperlink>
            <w:hyperlink w:anchor="condensed_consolidated_statements_shareh">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w:t>
              </w:r>
            </w:hyperlink>
            <w:r>
              <w:rPr>
                <w:rFonts w:ascii="Times New Roman" w:hAnsi="Times New Roman"/>
                <w:color w:val="0000FF"/>
                <w:sz w:val="20"/>
              </w:rPr>
              <w: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the federal securities laws. All statements other than statements of historical fact contained in this Quarterly Report on Form 10-Q,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some cases, forward-looking statements may be identified by terms such as “may,” “should,” “expects,” “plans,” “anticipates,” “could,” “intends,” “target,” “projects,”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Because forward-looking statements are inherently subject to risks and uncertainties, some of which cannot be predicted or quantified, they should not be relied upon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regain the listing of our ordinary shares on the Nasdaq Stock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unpredictability of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material weaknesses in and our ability to maintain an effective system of internal controls, produce timely and accurate financial statements or comply with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regain compliance with or obtain a waiver of compliance with the financial covenants under our secured credit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cash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predict and respond to emerging technological trends and network operators' changing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forecast future demand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inventory and the risk of excess or obsolete inventory in our channel;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competitive pressures on the development of new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caused by political tensions around the world including wars in Ukraine, Iran, as well as tensions between the United States and China and events in Israel, Gaza and the Middle East;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tariffs or other regulatory changes imposed by the United States or other countries on imports;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the United States dollar and the impact of currency fluctuations on the cost of our products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economic conditions, both domestically and in our foreign markets, including the risk of global or localized recessions;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suppliers to acquire components required to build our products as well as the impact of supply shortages, extended lead times or changes in supply of components and other parts required to manufacture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manufacturers, which subjects us to risks of product delivery delays and reduced control over product costs and quality;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distributors and value-added resellers for the substantial majority of our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our third-party logistics and warehousing providers to deliver products to our channel partners and network operators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technological complexity of our products, which may contain undetected hardware defects or software bugs or subject our products to the risks of ransomware or malware or other cyber attacks;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 risk of our channel partners, which could adversely affect their ability to purchase or pay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intellectual property protections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actual or threatened health epidemics and other outbreaks;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 availability of third-party licenses.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required by applicable law, we do not plan to publicly update or revise any forward-looking statements contained herein, whether as a result of any new information, future events or otherwise.</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Cambium Networks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7"/>
        <w:gridCol w:w="146"/>
        <w:gridCol w:w="204"/>
        <w:gridCol w:w="786"/>
        <w:gridCol w:w="166"/>
        <w:gridCol w:w="146"/>
        <w:gridCol w:w="196"/>
        <w:gridCol w:w="751"/>
        <w:gridCol w:w="813"/>
      </w:tblGrid>
      <w:tr>
        <w:trPr/>
        <w:tc>
          <w:tcPr>
            <w:tcW w:w="6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Receivables, net of allowance for credit losses of $3,402</w:t>
            </w:r>
            <w:r>
              <w:rPr>
                <w:rFonts w:ascii="Times New Roman" w:hAnsi="Times New Roman"/>
                <w:color w:val="000000"/>
                <w:sz w:val="20"/>
              </w:rPr>
              <w:t> </w:t>
            </w:r>
            <w:r>
              <w:rPr>
                <w:rFonts w:ascii="Times New Roman" w:hAnsi="Times New Roman"/>
                <w:color w:val="000000"/>
                <w:sz w:val="18"/>
              </w:rPr>
              <w:t>and $3,306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8,937</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6,577</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103,050</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13,232</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5,626</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21,336</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148,723</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11,692</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32,567</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Current portion of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66,336</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8,357</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131,645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tax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15,167</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169,501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Share capital; $0.0001</w:t>
            </w:r>
            <w:r>
              <w:rPr>
                <w:rFonts w:ascii="Times New Roman" w:hAnsi="Times New Roman"/>
                <w:color w:val="000000"/>
                <w:sz w:val="20"/>
              </w:rPr>
              <w:t> </w:t>
            </w:r>
            <w:r>
              <w:rPr>
                <w:rFonts w:ascii="Times New Roman" w:hAnsi="Times New Roman"/>
                <w:color w:val="000000"/>
                <w:sz w:val="18"/>
              </w:rPr>
              <w:t>par value; 500,000,000</w:t>
            </w:r>
            <w:r>
              <w:rPr>
                <w:rFonts w:ascii="Times New Roman" w:hAnsi="Times New Roman"/>
                <w:color w:val="000000"/>
                <w:sz w:val="20"/>
              </w:rPr>
              <w:t> </w:t>
            </w:r>
            <w:r>
              <w:rPr>
                <w:rFonts w:ascii="Times New Roman" w:hAnsi="Times New Roman"/>
                <w:color w:val="000000"/>
                <w:sz w:val="18"/>
              </w:rPr>
              <w:t>shares authorized at December 31, 2024 and June 30, 2025; 28,885,152</w:t>
            </w:r>
            <w:r>
              <w:rPr>
                <w:rFonts w:ascii="Times New Roman" w:hAnsi="Times New Roman"/>
                <w:color w:val="000000"/>
                <w:sz w:val="20"/>
              </w:rPr>
              <w:t> </w:t>
            </w:r>
            <w:r>
              <w:rPr>
                <w:rFonts w:ascii="Times New Roman" w:hAnsi="Times New Roman"/>
                <w:color w:val="000000"/>
                <w:sz w:val="18"/>
              </w:rPr>
              <w:t>shares issued and 28,612,181</w:t>
            </w:r>
            <w:r>
              <w:rPr>
                <w:rFonts w:ascii="Times New Roman" w:hAnsi="Times New Roman"/>
                <w:color w:val="000000"/>
                <w:sz w:val="20"/>
              </w:rPr>
              <w:t> </w:t>
            </w:r>
            <w:r>
              <w:rPr>
                <w:rFonts w:ascii="Times New Roman" w:hAnsi="Times New Roman"/>
                <w:color w:val="000000"/>
                <w:sz w:val="18"/>
              </w:rPr>
              <w:t>outstanding at December 31, 2024 and 29,034,840</w:t>
            </w:r>
            <w:r>
              <w:rPr>
                <w:rFonts w:ascii="Times New Roman" w:hAnsi="Times New Roman"/>
                <w:color w:val="000000"/>
                <w:sz w:val="20"/>
              </w:rPr>
              <w:t> </w:t>
            </w:r>
            <w:r>
              <w:rPr>
                <w:rFonts w:ascii="Times New Roman" w:hAnsi="Times New Roman"/>
                <w:color w:val="000000"/>
                <w:sz w:val="18"/>
              </w:rPr>
              <w:t>shares issued and 28,718,944</w:t>
            </w:r>
            <w:r>
              <w:rPr>
                <w:rFonts w:ascii="Times New Roman" w:hAnsi="Times New Roman"/>
                <w:color w:val="000000"/>
                <w:sz w:val="20"/>
              </w:rPr>
              <w:t> </w:t>
            </w:r>
            <w:r>
              <w:rPr>
                <w:rFonts w:ascii="Times New Roman" w:hAnsi="Times New Roman"/>
                <w:color w:val="000000"/>
                <w:sz w:val="18"/>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166,962</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shares, at cost, 272,971</w:t>
            </w:r>
            <w:r>
              <w:rPr>
                <w:rFonts w:ascii="Times New Roman" w:hAnsi="Times New Roman"/>
                <w:color w:val="000000"/>
                <w:sz w:val="20"/>
              </w:rPr>
              <w:t> </w:t>
            </w:r>
            <w:r>
              <w:rPr>
                <w:rFonts w:ascii="Times New Roman" w:hAnsi="Times New Roman"/>
                <w:color w:val="000000"/>
                <w:sz w:val="18"/>
              </w:rPr>
              <w:t>shares at December 31, 2024 and 315,896</w:t>
            </w:r>
            <w:r>
              <w:rPr>
                <w:rFonts w:ascii="Times New Roman" w:hAnsi="Times New Roman"/>
                <w:color w:val="000000"/>
                <w:sz w:val="20"/>
              </w:rPr>
              <w:t> </w:t>
            </w:r>
            <w:r>
              <w:rPr>
                <w:rFonts w:ascii="Times New Roman" w:hAnsi="Times New Roman"/>
                <w:color w:val="000000"/>
                <w:sz w:val="18"/>
              </w:rPr>
              <w:t>shares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(179,996</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shareholders'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(20,778</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LIABILITIES AND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148,723</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Cambium Networks Corporation</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share and per share data)</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04"/>
        <w:gridCol w:w="146"/>
        <w:gridCol w:w="211"/>
        <w:gridCol w:w="916"/>
        <w:gridCol w:w="166"/>
        <w:gridCol w:w="146"/>
        <w:gridCol w:w="211"/>
        <w:gridCol w:w="916"/>
        <w:gridCol w:w="166"/>
        <w:gridCol w:w="146"/>
        <w:gridCol w:w="211"/>
        <w:gridCol w:w="916"/>
        <w:gridCol w:w="166"/>
        <w:gridCol w:w="146"/>
        <w:gridCol w:w="211"/>
        <w:gridCol w:w="916"/>
        <w:gridCol w:w="411"/>
      </w:tblGrid>
      <w:tr>
        <w:trPr/>
        <w:tc>
          <w:tcPr>
            <w:tcW w:w="4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number of shares outstanding to compute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27,902,956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27,876,280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28,663,817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28,698,597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27,876,280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28,663,817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(21,034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Cambium Networks Corporation</w:t>
      </w:r>
    </w:p>
    <w:p>
      <w:pPr>
        <w:pStyle w:val="TextBody"/>
        <w:bidi w:val="0"/>
        <w:jc w:val="center"/>
        <w:rPr>
          <w:rFonts w:ascii="Times New Roman" w:hAnsi="Times New Roman"/>
          <w:b/>
          <w:color w:val="000000"/>
          <w:sz w:val="20"/>
        </w:rPr>
      </w:pPr>
      <w:bookmarkStart w:id="6" w:name="condensed_consolidated_statements_shareh"/>
      <w:bookmarkEnd w:id="6"/>
      <w:r>
        <w:rPr>
          <w:rFonts w:ascii="Times New Roman" w:hAnsi="Times New Roman"/>
          <w:b/>
          <w:color w:val="000000"/>
          <w:sz w:val="20"/>
        </w:rPr>
        <w:t>Consolidated Statements of Shareholders’ Equity (Deficit)</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3"/>
        <w:gridCol w:w="146"/>
        <w:gridCol w:w="146"/>
        <w:gridCol w:w="511"/>
        <w:gridCol w:w="151"/>
        <w:gridCol w:w="146"/>
        <w:gridCol w:w="196"/>
        <w:gridCol w:w="375"/>
        <w:gridCol w:w="146"/>
        <w:gridCol w:w="146"/>
        <w:gridCol w:w="181"/>
        <w:gridCol w:w="586"/>
        <w:gridCol w:w="146"/>
        <w:gridCol w:w="146"/>
        <w:gridCol w:w="181"/>
        <w:gridCol w:w="481"/>
        <w:gridCol w:w="151"/>
        <w:gridCol w:w="146"/>
        <w:gridCol w:w="264"/>
        <w:gridCol w:w="923"/>
        <w:gridCol w:w="151"/>
        <w:gridCol w:w="146"/>
        <w:gridCol w:w="270"/>
        <w:gridCol w:w="721"/>
        <w:gridCol w:w="151"/>
        <w:gridCol w:w="146"/>
        <w:gridCol w:w="228"/>
        <w:gridCol w:w="703"/>
        <w:gridCol w:w="198"/>
      </w:tblGrid>
      <w:tr>
        <w:trPr/>
        <w:tc>
          <w:tcPr>
            <w:tcW w:w="2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 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br/>
              <w:t>shareholders'</w:t>
              <w:b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2024 (As Restated)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27,893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(102,851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44,984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 (As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ordinary shares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vested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Treasury shares withheld for net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2024 (As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28,209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158,578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(117,097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34,055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 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br/>
              <w:t>shareholders'</w:t>
              <w:b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2023 (As Restated)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27,835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(84,403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61,129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 (As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5,147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ordinary shares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vested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Treasury shares withheld for net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2024 (As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28,209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158,578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(117,097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34,055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 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br/>
              <w:t>shareholders'</w:t>
              <w:br/>
              <w:t>deficit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28,690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165,518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(170,871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(13,118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vested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Treasury shares withheld for net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28,719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166,962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(179,996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(20,778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 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br/>
              <w:t>shareholders'</w:t>
              <w:br/>
              <w:t>deficit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2024 (As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163,441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(158,855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(3,237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(21,141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vested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Treasury shares withheld for net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28,719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166,962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(179,996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(20,778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Cambium Networks Corporation</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9611" w:type="dxa"/>
        <w:jc w:val="left"/>
        <w:tblInd w:w="0" w:type="dxa"/>
        <w:tblLayout w:type="fixed"/>
        <w:tblCellMar>
          <w:top w:w="28" w:type="dxa"/>
          <w:left w:w="28" w:type="dxa"/>
          <w:bottom w:w="28" w:type="dxa"/>
          <w:right w:w="28" w:type="dxa"/>
        </w:tblCellMar>
      </w:tblPr>
      <w:tblGrid>
        <w:gridCol w:w="6441"/>
        <w:gridCol w:w="146"/>
        <w:gridCol w:w="233"/>
        <w:gridCol w:w="787"/>
        <w:gridCol w:w="169"/>
        <w:gridCol w:w="149"/>
        <w:gridCol w:w="200"/>
        <w:gridCol w:w="675"/>
        <w:gridCol w:w="811"/>
      </w:tblGrid>
      <w:tr>
        <w:trPr/>
        <w:tc>
          <w:tcPr>
            <w:tcW w:w="6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software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deferred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inventory excess and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estimated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(6,952</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(3,469</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borrowing on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ordinary shares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Taxes paid from shares withheld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44,318</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paid,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(decrease) in property, equipment and software unpaid or accrued in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Reconciliation of cash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42,574</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Cambium Networks Corporation</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Business and significant accounting policies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Cambium Networks Corporation (“Cambium” or “Cambium Networks” or the “Company”), incorporated under the laws of the Cayman Islands, is a holding company whose principal operating entities are Cambium Networks, Ltd. (UK), Cambium Networks, Inc. (USA), and Cambium Networks Private Limited (India). On June 26, 2019, the Company completed an Initial Public Offering and the Company's ordinary shares began trading on the Nasdaq Global Market. Trading in the Company's ordinary shares was suspended at the open of trading on March 27, 2026. Trading in the Company's ordinary shares under the symbol "CMBMF" on the OTC Experts Market began on March 30, 2026.</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Cambium Networks Corporation and its wholly owned subsidiaries design, develop, and manufacture fixed wireless and PON/XGSPON based broadband, Wi-Fi, and local area networking ("LAN") switching infrastructure, and security gateway solutions for a wide range of applications, including broadband access, wireless backhaul, Internet of Things (IoT), public safety communication and Wi-Fi access. Cambium's products enable service providers, enterprises, industrial organizations and governments to deliver exceptional digital experiences and device connectivity, with compelling economics. The Company's ONE network platform simplifies the management of Cambium Networks' wired and wireless technologies. The Company's product lines fall into three broad, interrelated categories: Fixed Wireless and fiber Broadband ("FWB"), Enterprise Networking, and Subscriptions and Services.</w:t>
      </w:r>
    </w:p>
    <w:p>
      <w:pPr>
        <w:pStyle w:val="TextBody"/>
        <w:bidi w:val="0"/>
        <w:jc w:val="left"/>
        <w:rPr>
          <w:rFonts w:ascii="Times New Roman" w:hAnsi="Times New Roman"/>
          <w:i/>
          <w:color w:val="000000"/>
          <w:sz w:val="20"/>
        </w:rPr>
      </w:pPr>
      <w:r>
        <w:rPr>
          <w:rFonts w:ascii="Times New Roman" w:hAnsi="Times New Roman"/>
          <w:i/>
          <w:color w:val="000000"/>
          <w:sz w:val="20"/>
        </w:rPr>
        <w:t>Basis of Presentation and Restatement of previously issued unaudited consolidated financial statements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unaudited consolidated financial statements include the accounts of Cambium Networks Corporation and its wholly-owned subsidiaries. All intercompany balances and transactions have been eliminated. The consolidated financial statements as of June 30, 2025, and for the three-month and six-month periods ended June 30, 2024 and 2025, and the related notes are unaudited. The unaudited consolidated financial statements have been prepared on the same basis as the annual audited consolidated financial statements, and, in the opinion of management, reflect all adjustments, which comprise only normal recurring adjustments necessary to state fairly the Company’s financial position as of June 30, 2025 and results of operations and comprehensive loss for the three-month and six-month periods ended June 30, 2024 and 2025 and cash flows for the six-month periods ended June 30, 2024 and 2025. The consolidated balance sheet as of December 31, 2024 has been derived from the audited financial statements at that date. In the Company's Comprehensive Form 10-K for the year ended December 31, 2024, filed with the SEC on April 7, 2026, we restated financial statements for the three-month and six-month periods ended June 30, 2024. The financial results included herein for this period reflect the impact of the restatement.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information and footnote disclosures normally included in financial statements prepared in accordance with accounting principles generally accepted in the United States (“U.S. GAAP”) have been condensed or omitted. The consolidated financial statements contained herein should be read in conjunction with the consolidated financial statements and related notes thereto for the year ended December 31, 2024 included in the Company’s Comprehensive Form 10-K and filed with the SEC on April 7, 2026. The results of operations for the three-month and six-month periods ended June 30, 2025 are not necessarily indicative of the operating results to be expected for the full year.</w:t>
      </w:r>
    </w:p>
    <w:p>
      <w:pPr>
        <w:pStyle w:val="TextBody"/>
        <w:bidi w:val="0"/>
        <w:jc w:val="left"/>
        <w:rPr>
          <w:rFonts w:ascii="Times New Roman" w:hAnsi="Times New Roman"/>
          <w:sz w:val="20"/>
        </w:rPr>
      </w:pPr>
      <w:r>
        <w:rPr>
          <w:rFonts w:ascii="Times New Roman" w:hAnsi="Times New Roman"/>
          <w:i/>
          <w:color w:val="000000"/>
          <w:sz w:val="20"/>
        </w:rPr>
        <w:t>Going Concern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accordance with the accounting guidance related to the presentation of financial statements, when preparing financial statements for each annual and interim reporting period, management evaluates whether there are conditions or events that, when considered in the aggregate, raise substantial doubt about the Company’s ability to continue as a going concern within one year after the date that the financial statements are issued. In making its assessment, management considered the Company’s current financial condition and liquidity sources, including current funds available, forecasted future cash flows and conditional and unconditional obligations due over the next twelve months, as well as other factors including the markets in which the Company competes and the current customer demand for the Company’s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2025, the Company was not in compliance with its quarterly fixed charge coverage ratio and quarterly consolidated leverage ratio covenants. These defaults continue through the remainder of 2025 and into 2026. Such defaults afford the lender the right to declare the amounts outstanding immediately due and payable, and although the Company continues regular discussions with the lender, it has not been able to obtain a waiver of the defaults, or otherwise refinance such indebtedness. If the lender were to accelerate the maturity of the Company's indebtedness under the Amended Credit Agreement, the Company would not be able to repay the debt, and therefore, there is substantial uncertainty the Company would be able to continue as a going concern. The Company's obligations under the Amended Credit Agreement mature and become due and payable on November 17, 2026, absent acceleration by the lender. As of June 30, 2025, the Company ceased making payment of principal and interest on the term loan and payment of interest on the revolving credit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the covenant violations afford the lender the right to declare the amounts outstanding immediately due and payable, the term loan facility and the associated debt issuance costs and the revolving credit facility are classified as a current liability and the deferred debt issuance costs associated with the revolving credit facility are classified as a current asset in the accompanying consolidated balance sheets as of December 31, 2024 and June 30, 2025. Please refer to Note 7. Debt, regarding the Company’s debt outstanding under its credit facilities with Bank of America.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continues to take actions to improve its profitability and focus on operating efficiency and reducing discretionary spending, deferring capital expenditures and implementing cost reductions to align its cost structure with current and expected revenue levels.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the Company's current forecast, it is projecting future noncompliance with its financial covenants through maturity of the debt in addition to the covenant noncompliance described above. If the lender were to accelerate the maturity of the Company's indebtedness under the Amended Credit Agreement, there is substantial uncertainty that the Company would be able to secure capital resources to repay the amounts due. Due to these uncertainties and given the debt matures on November 17, 2026, management concluded that substantial doubt exists with respect to the Company's ability to continue as a going concern within one year after the date that these consolidated financial statements are issued.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 </w:t>
      </w:r>
    </w:p>
    <w:p>
      <w:pPr>
        <w:pStyle w:val="TextBody"/>
        <w:bidi w:val="0"/>
        <w:spacing w:before="120" w:after="120"/>
        <w:jc w:val="left"/>
        <w:rPr>
          <w:rFonts w:ascii="Times New Roman" w:hAnsi="Times New Roman"/>
          <w:sz w:val="20"/>
        </w:rPr>
      </w:pPr>
      <w:r>
        <w:rPr>
          <w:rFonts w:ascii="Times New Roman" w:hAnsi="Times New Roman"/>
          <w:i/>
          <w:color w:val="000000"/>
          <w:sz w:val="20"/>
        </w:rPr>
        <w:t>Update to Significant Accounting Policies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There have been no material changes to the Company’s significant accounting policies disclosed in the 2024 Form 10-K, Part II, Item 8.</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Recently issued accounting standards not yet adopted</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public entities, on an annual basis, to disclose standard categories in the tax rate reconciliation, additional information for reconciling items that meet a quantitative threshold and income taxes paid disaggregated by jurisdiction. ASU 2023-09 is effective for annual periods beginning after December 15, 2024. Adoption of this ASU should be applied prospectively, but may be applied retrospectively to all prior periods presented in the financial statements. The Company plans to adopt this ASU on a prospective basis during the year ended December 31, 2025. The adoption of this standard will not have a material impact on the Company's consolidated financial statements, but will result in incremental income tax disclosures.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October 2023, the FASB issued ASU 2023-06, </w:t>
      </w:r>
      <w:r>
        <w:rPr>
          <w:rFonts w:ascii="Times New Roman" w:hAnsi="Times New Roman"/>
          <w:i/>
          <w:color w:val="000000"/>
          <w:sz w:val="20"/>
        </w:rPr>
        <w:t>Disclosure Improvements: Codification Amendments in Response to the Securities and Exchange Commission's ("SEC") Disclosure Update and Simplification Initiative</w:t>
      </w:r>
      <w:r>
        <w:rPr>
          <w:rFonts w:ascii="Times New Roman" w:hAnsi="Times New Roman"/>
          <w:color w:val="000000"/>
          <w:sz w:val="20"/>
        </w:rPr>
        <w:t xml:space="preserve">. The amendments in this update require modification of certain disclosure and presentation requirements for a variety of ASU topics in response to the SEC's Release No. 33-10532. The effective date for each amended topic in the ASU is the date on which the SEC's removal of the related disclosure requirement from Regulation S-X or Regulation S-K becomes effective. However, if by June 30, 2027, the SEC has not removed the related disclosure from its regulations, the amendment will be removed from the Codification and not become effective. Early adoption is permitted. The Company is currently evaluating this ASU to determine its impact on the Company's disclosures.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which requires public entities to disclose within the footnotes to the financial statements, disaggregated information about certain income statement expense captions, including disclosure of the amounts for a) purchases of inventory, b) employee compensation, c) depreciation, d) intangible asset amortization and e) depreciation, depletion, and amortization recognized as part of oil-and gas-producing activities (DD&amp;A) included in each relevant expense caption. The amendment also requires that certain amounts that are already required to be disclosed under U.S. GAAP be included in the same disclosure as the other disaggregation requirements. The new guidance also requires a qualitative description of the amounts remaining in relevant expense captions that are not separately disaggregated quantitatively and disclosure of the total amount of selling expenses and, in annual reporting periods, an entity’s definition of selling expenses. ASU 2024-03 is effective for annual periods beginning after December 15, 2026 and interim periods within fiscal years beginning after December 15, 2027, with early adoption permitted. Upon adoption, this guidance should be applied prospectively, but may be applied retrospectively to all prior periods presented in the financial statements. The Company is currently evaluating the adoption of this standard on the Company's financial statement disclosures.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Restatement of previously issued unaudited interim consolidated financial statements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connection with the preparation of the Company's consolidated financial statements for the year ended December 31, 2024, the Company determined that its previously issued unaudited interim consolidated financial statements for the three-month and six-month periods ended June 30, 2024 contained errors in the application of GAAP as summarized below. The Company evaluated the corrections and determined that the related impacts were material to the previously filed unaudited interim consolidated financial statements and in consultation with the Audit Committee of the Company's Board of Directors, concluded that the three-month and six-month periods ended June 30, 2024 should be restated to present the identified adjustments discussed below.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Background of Restatement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three-month and six-month periods ended June 30, 2024, the Company did not appropriately (i) estimate variable consideration for customer incentives, (ii) estimate variable consideration for sales returns, (iii) estimate the allowance for credit losses, (iv) estimate excess and obsolete inventory, (v) timely recognize a valuation allowance on deferred tax assets and (vi) reclassify certain prepayments made to suppliers and loss on supplier commitments liability as current or non-current.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as part of the restatement, for the three-month and six-month periods ended June 30, 2024, the Company corrected for (b) previously identified uncorrected misstatement related to out-of-period adjustments, (c) previously recorded amounts reclassifying accounts receivable credit balances and (d) classification of property and equipment transactions on the statement of cash flows.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Effect of Restatement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tables set forth the effects of the restatement adjustments on revenue, loss before income taxes and net income (loss) in the consolidated statements of operations and comprehensive loss for the three-month and six-month periods ended June 30, 2024.</w:t>
      </w:r>
    </w:p>
    <w:tbl>
      <w:tblPr>
        <w:tblW w:w="10209" w:type="dxa"/>
        <w:jc w:val="left"/>
        <w:tblInd w:w="0" w:type="dxa"/>
        <w:tblLayout w:type="fixed"/>
        <w:tblCellMar>
          <w:top w:w="28" w:type="dxa"/>
          <w:left w:w="28" w:type="dxa"/>
          <w:bottom w:w="28" w:type="dxa"/>
          <w:right w:w="28" w:type="dxa"/>
        </w:tblCellMar>
      </w:tblPr>
      <w:tblGrid>
        <w:gridCol w:w="1591"/>
        <w:gridCol w:w="811"/>
        <w:gridCol w:w="146"/>
        <w:gridCol w:w="224"/>
        <w:gridCol w:w="677"/>
        <w:gridCol w:w="166"/>
        <w:gridCol w:w="146"/>
        <w:gridCol w:w="211"/>
        <w:gridCol w:w="736"/>
        <w:gridCol w:w="166"/>
        <w:gridCol w:w="146"/>
        <w:gridCol w:w="211"/>
        <w:gridCol w:w="736"/>
        <w:gridCol w:w="166"/>
        <w:gridCol w:w="146"/>
        <w:gridCol w:w="214"/>
        <w:gridCol w:w="687"/>
        <w:gridCol w:w="166"/>
        <w:gridCol w:w="146"/>
        <w:gridCol w:w="211"/>
        <w:gridCol w:w="736"/>
        <w:gridCol w:w="166"/>
        <w:gridCol w:w="146"/>
        <w:gridCol w:w="211"/>
        <w:gridCol w:w="736"/>
        <w:gridCol w:w="511"/>
      </w:tblGrid>
      <w:tr>
        <w:trPr/>
        <w:tc>
          <w:tcPr>
            <w:tcW w:w="15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1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Identifier in statement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 before income 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 before income 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loss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Previously reported</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Restatement adjustments: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Revenue adjustment - customer incentives</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Revenue adjustment - sales returns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Estimate for allowance for credit losses</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Estimate for excess and obsolete inventory</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Estimate for excess and obsolete inventory - non-standard contract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tax adjustments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Prior period uncorrected misstatements and out of period adjustments</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restatement adjustments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Restated</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(32,694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amounts are presented herein as originally reported in the previously issued financial statements for transparency and consistency. The restatement corrects these errors and reflects the appropriate adjustments.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financial statement line items impacted by the respective adjustments are labeled in the tables below based on the identifiers from the paragraph above. Below are the Company's restated consolidated statement of operations and comprehensive loss for the three-month and six-month periods ended June 30, 2024 and statement of cash flows with the adjustments for the six-month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ended June 30, 2024. The consolidated statement of shareholders' equity (deficit) has been excluded from the financial statement presentation below as it was only impacted by adjustments to net loss, which is presented below in the consolidated statement of operations and comprehensive loss. </w:t>
      </w:r>
    </w:p>
    <w:tbl>
      <w:tblPr>
        <w:tblW w:w="10205" w:type="dxa"/>
        <w:jc w:val="left"/>
        <w:tblInd w:w="0" w:type="dxa"/>
        <w:tblLayout w:type="fixed"/>
        <w:tblCellMar>
          <w:top w:w="28" w:type="dxa"/>
          <w:left w:w="28" w:type="dxa"/>
          <w:bottom w:w="28" w:type="dxa"/>
          <w:right w:w="28" w:type="dxa"/>
        </w:tblCellMar>
      </w:tblPr>
      <w:tblGrid>
        <w:gridCol w:w="5584"/>
        <w:gridCol w:w="146"/>
        <w:gridCol w:w="211"/>
        <w:gridCol w:w="1036"/>
        <w:gridCol w:w="166"/>
        <w:gridCol w:w="146"/>
        <w:gridCol w:w="237"/>
        <w:gridCol w:w="709"/>
        <w:gridCol w:w="166"/>
        <w:gridCol w:w="146"/>
        <w:gridCol w:w="211"/>
        <w:gridCol w:w="1036"/>
        <w:gridCol w:w="411"/>
      </w:tblGrid>
      <w:tr>
        <w:trPr/>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CAMBIUM NETWORKS CORPORATION</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 OF OPERATIONS AND OTHER COMPREHENSIVE LOSS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amounts)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Restated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(i) (ii)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(ii)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number of shares outstanding to compute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27,902,956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27,902,956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27,902,956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84"/>
        <w:gridCol w:w="146"/>
        <w:gridCol w:w="211"/>
        <w:gridCol w:w="1036"/>
        <w:gridCol w:w="166"/>
        <w:gridCol w:w="146"/>
        <w:gridCol w:w="237"/>
        <w:gridCol w:w="709"/>
        <w:gridCol w:w="166"/>
        <w:gridCol w:w="146"/>
        <w:gridCol w:w="211"/>
        <w:gridCol w:w="1036"/>
        <w:gridCol w:w="411"/>
      </w:tblGrid>
      <w:tr>
        <w:trPr/>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CAMBIUM NETWORKS CORPORATION</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 OF OPERATIONS AND OTHER COMPREHENSIVE LOSS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amounts)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4"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Restated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(i) (ii)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(ii)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 (vii)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number of shares outstanding to compute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27,876,280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27,876,280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27,876,280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27,876,280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612"/>
        <w:gridCol w:w="146"/>
        <w:gridCol w:w="233"/>
        <w:gridCol w:w="816"/>
        <w:gridCol w:w="166"/>
        <w:gridCol w:w="146"/>
        <w:gridCol w:w="237"/>
        <w:gridCol w:w="709"/>
        <w:gridCol w:w="166"/>
        <w:gridCol w:w="146"/>
        <w:gridCol w:w="225"/>
        <w:gridCol w:w="789"/>
        <w:gridCol w:w="814"/>
      </w:tblGrid>
      <w:tr>
        <w:trPr/>
        <w:tc>
          <w:tcPr>
            <w:tcW w:w="5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939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CAMBIUM NETWORKS CORPORATION</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 OF CASH FLOWS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Restated</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 (ii) (iii) (iv) (v)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software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inventory excess and obsolescence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estimated credit losses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Receivables (i) (iii)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receivable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employee compensation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(i) (iii) (vi)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liabilities (ii) (iv) (v) (vi)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revolver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ordinary shares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from shares withheld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44,318</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42,574</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paid,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property, equipment and software unpaid or accrued in liabilities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incurred but not yet paid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3. Balance sheet components</w:t>
      </w:r>
      <w:r>
        <w:rPr>
          <w:rFonts w:ascii="Times New Roman" w:hAnsi="Times New Roman"/>
          <w:color w:val="000000"/>
          <w:sz w:val="20"/>
        </w:rPr>
        <w:t xml:space="preserve">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Inventories, net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Inventories, net consisted of the following (in thousands):</w:t>
      </w:r>
    </w:p>
    <w:tbl>
      <w:tblPr>
        <w:tblW w:w="5937" w:type="dxa"/>
        <w:jc w:val="left"/>
        <w:tblInd w:w="0" w:type="dxa"/>
        <w:tblLayout w:type="fixed"/>
        <w:tblCellMar>
          <w:top w:w="28" w:type="dxa"/>
          <w:left w:w="28" w:type="dxa"/>
          <w:bottom w:w="28" w:type="dxa"/>
          <w:right w:w="28" w:type="dxa"/>
        </w:tblCellMar>
      </w:tblPr>
      <w:tblGrid>
        <w:gridCol w:w="3226"/>
        <w:gridCol w:w="146"/>
        <w:gridCol w:w="244"/>
        <w:gridCol w:w="851"/>
        <w:gridCol w:w="166"/>
        <w:gridCol w:w="146"/>
        <w:gridCol w:w="211"/>
        <w:gridCol w:w="736"/>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Excess and obsolescence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Inventory reserves are established for estimated excess and obsolete inventory equal to the difference between the cost of the inventory and the estimated net realizable value of the inventory based on historical usage, known trends, and market conditions and judgment about the anticipated future consumption and our ability to sell the inventory.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Noncurrent assets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Noncurrent assets consisted of the following (in thousands):</w:t>
      </w:r>
    </w:p>
    <w:tbl>
      <w:tblPr>
        <w:tblW w:w="4710" w:type="dxa"/>
        <w:jc w:val="left"/>
        <w:tblInd w:w="0" w:type="dxa"/>
        <w:tblLayout w:type="fixed"/>
        <w:tblCellMar>
          <w:top w:w="28" w:type="dxa"/>
          <w:left w:w="28" w:type="dxa"/>
          <w:bottom w:w="28" w:type="dxa"/>
          <w:right w:w="28" w:type="dxa"/>
        </w:tblCellMar>
      </w:tblPr>
      <w:tblGrid>
        <w:gridCol w:w="2071"/>
        <w:gridCol w:w="146"/>
        <w:gridCol w:w="260"/>
        <w:gridCol w:w="835"/>
        <w:gridCol w:w="146"/>
        <w:gridCol w:w="146"/>
        <w:gridCol w:w="217"/>
        <w:gridCol w:w="698"/>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security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Accrued liabilities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Accrued liabilities consisted of the following (in thousands):</w:t>
      </w:r>
    </w:p>
    <w:tbl>
      <w:tblPr>
        <w:tblW w:w="5895" w:type="dxa"/>
        <w:jc w:val="left"/>
        <w:tblInd w:w="0" w:type="dxa"/>
        <w:tblLayout w:type="fixed"/>
        <w:tblCellMar>
          <w:top w:w="28" w:type="dxa"/>
          <w:left w:w="28" w:type="dxa"/>
          <w:bottom w:w="28" w:type="dxa"/>
          <w:right w:w="28" w:type="dxa"/>
        </w:tblCellMar>
      </w:tblPr>
      <w:tblGrid>
        <w:gridCol w:w="3256"/>
        <w:gridCol w:w="146"/>
        <w:gridCol w:w="260"/>
        <w:gridCol w:w="835"/>
        <w:gridCol w:w="146"/>
        <w:gridCol w:w="146"/>
        <w:gridCol w:w="217"/>
        <w:gridCol w:w="698"/>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goods and services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w:t>
            </w:r>
          </w:p>
        </w:tc>
        <w:tc>
          <w:tcPr>
            <w:tcW w:w="19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loss on supplier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inventory purchases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9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customer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on debt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9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Accrued warranty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Provisions for warranty claims are primarily related to our hardware products and are recorded at the time products are sold. The change to accrued warranty was as follows (in thousands): </w:t>
      </w:r>
    </w:p>
    <w:tbl>
      <w:tblPr>
        <w:tblW w:w="6640" w:type="dxa"/>
        <w:jc w:val="left"/>
        <w:tblInd w:w="0" w:type="dxa"/>
        <w:tblLayout w:type="fixed"/>
        <w:tblCellMar>
          <w:top w:w="28" w:type="dxa"/>
          <w:left w:w="28" w:type="dxa"/>
          <w:bottom w:w="28" w:type="dxa"/>
          <w:right w:w="28" w:type="dxa"/>
        </w:tblCellMar>
      </w:tblPr>
      <w:tblGrid>
        <w:gridCol w:w="2806"/>
        <w:gridCol w:w="146"/>
        <w:gridCol w:w="294"/>
        <w:gridCol w:w="801"/>
        <w:gridCol w:w="166"/>
        <w:gridCol w:w="146"/>
        <w:gridCol w:w="558"/>
        <w:gridCol w:w="1512"/>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service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(decrease) increase,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At December 31, 2024, $1.3 million is included in Other current liabilities and $0.1 million is included in Other noncurrent liabilities on the Company's consolidated balance sheets. At June 30, 2025, $1.5 million is included in Other current liabilities and $0.1 million is included in Other noncurrent liabilities on the Company’s consolidated balance sheets.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Other noncurrent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noncurrent liabilities consisted of the following (in thousands):</w:t>
      </w:r>
    </w:p>
    <w:tbl>
      <w:tblPr>
        <w:tblW w:w="5895" w:type="dxa"/>
        <w:jc w:val="left"/>
        <w:tblInd w:w="0" w:type="dxa"/>
        <w:tblLayout w:type="fixed"/>
        <w:tblCellMar>
          <w:top w:w="28" w:type="dxa"/>
          <w:left w:w="28" w:type="dxa"/>
          <w:bottom w:w="28" w:type="dxa"/>
          <w:right w:w="28" w:type="dxa"/>
        </w:tblCellMar>
      </w:tblPr>
      <w:tblGrid>
        <w:gridCol w:w="3256"/>
        <w:gridCol w:w="146"/>
        <w:gridCol w:w="260"/>
        <w:gridCol w:w="835"/>
        <w:gridCol w:w="146"/>
        <w:gridCol w:w="146"/>
        <w:gridCol w:w="217"/>
        <w:gridCol w:w="698"/>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loss on supplier commitments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16,784</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w:t>
            </w:r>
          </w:p>
        </w:tc>
        <w:tc>
          <w:tcPr>
            <w:tcW w:w="19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4. Property and equipment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tbl>
      <w:tblPr>
        <w:tblW w:w="6729" w:type="dxa"/>
        <w:jc w:val="left"/>
        <w:tblInd w:w="0" w:type="dxa"/>
        <w:tblLayout w:type="fixed"/>
        <w:tblCellMar>
          <w:top w:w="28" w:type="dxa"/>
          <w:left w:w="28" w:type="dxa"/>
          <w:bottom w:w="28" w:type="dxa"/>
          <w:right w:w="28" w:type="dxa"/>
        </w:tblCellMar>
      </w:tblPr>
      <w:tblGrid>
        <w:gridCol w:w="2731"/>
        <w:gridCol w:w="146"/>
        <w:gridCol w:w="1141"/>
        <w:gridCol w:w="146"/>
        <w:gridCol w:w="244"/>
        <w:gridCol w:w="851"/>
        <w:gridCol w:w="166"/>
        <w:gridCol w:w="146"/>
        <w:gridCol w:w="211"/>
        <w:gridCol w:w="736"/>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tooling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to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to 13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Total depreciation expense was $1.1 million and $0.4 million for the three-month periods ended June 30, 2024 and 2025, respectively, and $2.3 million and $0.5 million for the six-month periods ended June 30, 2024 and 2025, respectively.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a result of the impairment triggers identified during the year ended December 31, 2024, the Company completed a quantitative assessment of the Company's long-lived assets for recoverability. Based on the quantitative assessment performed, management concluded that the assets were not recoverable. The Company completed a full review of its assets using the cost approach, considering economic obsolescence, and recorded an impairment charge of $8.8 million, consisting of $4.9 million for equipment and tooling, $3.2 million for leasehold improvements, $0.6 million for computer equipment and $0.1 million for furniture and fixtures. As of June 30, 2025, the asset costs reflect the impact of the impairment recorded in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5. Software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Software consisted of the following (in thousands):</w:t>
      </w:r>
    </w:p>
    <w:tbl>
      <w:tblPr>
        <w:tblW w:w="10205" w:type="dxa"/>
        <w:jc w:val="left"/>
        <w:tblInd w:w="0" w:type="dxa"/>
        <w:tblLayout w:type="fixed"/>
        <w:tblCellMar>
          <w:top w:w="28" w:type="dxa"/>
          <w:left w:w="28" w:type="dxa"/>
          <w:bottom w:w="28" w:type="dxa"/>
          <w:right w:w="28" w:type="dxa"/>
        </w:tblCellMar>
      </w:tblPr>
      <w:tblGrid>
        <w:gridCol w:w="664"/>
        <w:gridCol w:w="146"/>
        <w:gridCol w:w="526"/>
        <w:gridCol w:w="146"/>
        <w:gridCol w:w="181"/>
        <w:gridCol w:w="526"/>
        <w:gridCol w:w="146"/>
        <w:gridCol w:w="146"/>
        <w:gridCol w:w="227"/>
        <w:gridCol w:w="719"/>
        <w:gridCol w:w="151"/>
        <w:gridCol w:w="146"/>
        <w:gridCol w:w="232"/>
        <w:gridCol w:w="639"/>
        <w:gridCol w:w="151"/>
        <w:gridCol w:w="146"/>
        <w:gridCol w:w="181"/>
        <w:gridCol w:w="526"/>
        <w:gridCol w:w="146"/>
        <w:gridCol w:w="146"/>
        <w:gridCol w:w="181"/>
        <w:gridCol w:w="526"/>
        <w:gridCol w:w="146"/>
        <w:gridCol w:w="146"/>
        <w:gridCol w:w="227"/>
        <w:gridCol w:w="719"/>
        <w:gridCol w:w="151"/>
        <w:gridCol w:w="146"/>
        <w:gridCol w:w="283"/>
        <w:gridCol w:w="588"/>
        <w:gridCol w:w="151"/>
        <w:gridCol w:w="146"/>
        <w:gridCol w:w="181"/>
        <w:gridCol w:w="526"/>
        <w:gridCol w:w="197"/>
      </w:tblGrid>
      <w:tr>
        <w:trPr/>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7"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(unaudited)</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Impairment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Impairment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balance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Acquired software and Software for internal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5"/>
              </w:rPr>
              <w:t>3</w:t>
            </w:r>
            <w:r>
              <w:rPr>
                <w:rFonts w:ascii="Times New Roman" w:hAnsi="Times New Roman"/>
                <w:color w:val="000000"/>
                <w:sz w:val="20"/>
              </w:rPr>
              <w:t> </w:t>
            </w:r>
            <w:r>
              <w:rPr>
                <w:rFonts w:ascii="Times New Roman" w:hAnsi="Times New Roman"/>
                <w:color w:val="000000"/>
                <w:sz w:val="15"/>
              </w:rPr>
              <w:t>to 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Software marketed for external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5"/>
              </w:rPr>
              <w:t>3</w:t>
            </w:r>
            <w:r>
              <w:rPr>
                <w:rFonts w:ascii="Times New Roman" w:hAnsi="Times New Roman"/>
                <w:color w:val="000000"/>
                <w:sz w:val="20"/>
              </w:rPr>
              <w:t> </w:t>
            </w:r>
            <w:r>
              <w:rPr>
                <w:rFonts w:ascii="Times New Roman" w:hAnsi="Times New Roman"/>
                <w:color w:val="000000"/>
                <w:sz w:val="15"/>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12,795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Amortization of acquired software and software for internal use is computed using the straight-line method over an estimated useful life of generally three to seven years. Amortization expense recognized on acquired software and software for internal use is reflected in Depreciation and amortization expense in the consolidated statements of operations and comprehensive loss. Amortization expense was $0.1 million and $30 thousand for the three-month periods ended June 30, 2024 and 2025, respectively. Amortization expense was $0.2 million and $0.1 million for the six-month periods ended June 30, 2024 and 2025,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Amortization expense recognized on software to be sold or marketed externally was $0.9 million for the three-month period ended June 30, 2024 and $0.8 million for the three-month period ended June 30, 2025, respectively, and $1.8 million and $1.7 million for the six-month periods ended June 30, 2024 and 2025, respectively, and is included in Cost of revenues in the consolidated statements of operations and comprehensive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result of the impairment triggers identified during the year ended December 31, 2024, the Company completed a quantitative assessment on the Company's long-lived assets for recoverability. Based on quantitative assessment performed, management concluded that certain assets were not recoverable and recorded an impairment charge of $0.5 million. As of June 30, 2025, the gross carrying amount of acquired software and software for internal use reflects the impact of the impairment.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completes a net realizable value test on its software to be marketed for external sale for impairment at each reporting period. At June 30, 2025, the Company identified one product where the net realizable value was below the unamortized capitalized costs of that product and recognized a $0.2 million impairment. At December 31, 2024, the Company identified one product where the net realizable value was below the unamortized capitalized costs of that product and recognized a $0.6 million impairment. As of June 30, 2025, the gross carrying amount of the software marketed for external sale reflects the impact of the 2024 impairment recognized.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capitalized software assets at June 30, 2025, estimated amortization expense in future fiscal years is as follows (unaudited and in thousands):</w:t>
      </w:r>
    </w:p>
    <w:p>
      <w:pPr>
        <w:pStyle w:val="TextBody"/>
        <w:bidi w:val="0"/>
        <w:jc w:val="left"/>
        <w:rPr/>
      </w:pPr>
      <w:r>
        <w:rPr/>
        <w:t> </w:t>
      </w:r>
    </w:p>
    <w:tbl>
      <w:tblPr>
        <w:tblW w:w="8529" w:type="dxa"/>
        <w:jc w:val="left"/>
        <w:tblInd w:w="0" w:type="dxa"/>
        <w:tblLayout w:type="fixed"/>
        <w:tblCellMar>
          <w:top w:w="28" w:type="dxa"/>
          <w:left w:w="28" w:type="dxa"/>
          <w:bottom w:w="28" w:type="dxa"/>
          <w:right w:w="28" w:type="dxa"/>
        </w:tblCellMar>
      </w:tblPr>
      <w:tblGrid>
        <w:gridCol w:w="2041"/>
        <w:gridCol w:w="146"/>
        <w:gridCol w:w="1203"/>
        <w:gridCol w:w="2412"/>
        <w:gridCol w:w="146"/>
        <w:gridCol w:w="146"/>
        <w:gridCol w:w="253"/>
        <w:gridCol w:w="812"/>
        <w:gridCol w:w="146"/>
        <w:gridCol w:w="146"/>
        <w:gridCol w:w="211"/>
        <w:gridCol w:w="67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Acquired software and Software for internal 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Software</w:t>
              <w:br/>
              <w:t>marketed for</w:t>
              <w:br/>
              <w:t>external 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(July -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6. Goodwill and intangible assets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was no change in the carrying amount of goodwill or intangible assets during the three-month period ended June 30, 2025 (unaudited).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tests goodwill for impairment annually on December 31 and more frequently if an event occurs or circumstances change that would more likely than not reduce the fair value of a reporting unit or asset group below its carrying amount and tests intangible assets if an indicator suggests that the carrying amount may not be recoverable.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Accordingly, the Company completes a quarterly qualitative triggering events assessment which considers significant events and circumstances such as a reporting unit’s historical and current results, assumptions regarding future performance, operating income or cash flows, strategic initiatives and overall economic factors, including significant negative industry or economic trends and macro-economic developments, and sustained declines in the Company's share price or market capitalization, considered in both absolute terms and relative to peers, to determine whether any of these may indicate that it is more likely than not that the fair value of the reporting unit is less than its carrying value.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2024 and June 30, 2025, the Company's single reporting unit had a negative carrying value and no further impairment of goodwill was recorded.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year ended December 31, 2024, the Company completed an assessment of the customer relationship intangible and determined that the fair value of its customer relationship intangible was negative and the entire value was impaired, resulting in an full impairment loss of $6.6 million.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Intangible assets amortization expense was $0.4 million for the three-month period ended June 30, 2024 and $0.8 million for the six-month period ended June 30, 2024. As the customer relationship intangible asset was fully impaired as of December 31, 2024, there was no amortization expense for the three-month and six- month periods ended June 30, 2025 (unaudited).</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Note 7.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June 30, 2025, the Company had $21.5 million outstanding under its term loan facility and $45.0 million outstanding under its revolving credit facility. As of June 30, 2025, the Company had no availability left under its revolving credit facility (unaudited).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reflects the breakdown of term loan and revolving credit facilities at December 31, 2024 and June 30, 2025 (in thousands):</w:t>
      </w:r>
    </w:p>
    <w:tbl>
      <w:tblPr>
        <w:tblW w:w="6537" w:type="dxa"/>
        <w:jc w:val="left"/>
        <w:tblInd w:w="0" w:type="dxa"/>
        <w:tblLayout w:type="fixed"/>
        <w:tblCellMar>
          <w:top w:w="28" w:type="dxa"/>
          <w:left w:w="28" w:type="dxa"/>
          <w:bottom w:w="28" w:type="dxa"/>
          <w:right w:w="28" w:type="dxa"/>
        </w:tblCellMar>
      </w:tblPr>
      <w:tblGrid>
        <w:gridCol w:w="3826"/>
        <w:gridCol w:w="146"/>
        <w:gridCol w:w="244"/>
        <w:gridCol w:w="851"/>
        <w:gridCol w:w="166"/>
        <w:gridCol w:w="146"/>
        <w:gridCol w:w="211"/>
        <w:gridCol w:w="736"/>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on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December 31, 2024, the effective interest rate on the term loan facility was 10.24%. As of June 30, 2025, the effective interest rate on the term loan facility was 10.24% (unaudited).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2024, the weighted-average interest rate for borrowings outstanding under the revolving credit facility was 8.73%. As of June 30, 2025, the weighted-average interest rate for borrowings outstanding under the revolving credit facility was 9.13% (unaudited).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to the interest charged on the term loan facility and the revolving credit facility, as a result of the covenant violation, the bank converted the term loan and revolving credit facilities to Base Rate loans on the default date and has imposed an additional 2% interest penalty on all outstanding amounts until the events of default are cured.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2025, the Company has ceased making the required quarterly principal and interest payments on the term loan and the periodic interest payments on the revolving credit facility.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maturity date of the term loan facility and the revolving credit facility, with all amounts outstanding, becoming due and payable in full, is November 17, 2026 (the “Maturity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Loan covenants and violations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Amended Credit Agreement is subject to financial covenants, including covenants which require the Company to meet key financial ratios and customary affirmative and negative covenants. As of June 30, 2025, the Company was not in compliance with its quarterly consolidated fixed charge coverage ratio and consolidated leverage ratio covenants. These events of default afford Bank of America the right to declare the amounts immediately due and payable on the outstanding term loan principal amount of $21.5 million and the outstanding revolving credit facility amount of $45.0 million. Although the Company continues regular discussions with the lender to address its noncompliance of the covenants, it has been unable to obtain a waiver of the defaults from the lender, or otherwise refinance the indebtedness. There can be no assurances that the lender will provide a waiver and could declare the Company in default and accelerate all amounts due under the term loan facility and the revolving credit facility.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term loan facility and revolving credit facility mature on November 17, 2026, however, the covenant violation gives the bank the right to require immediate payment of the outstanding amounts. Accordingly, the entire $21.5 million outstanding on the term loan facility and the $45.0 million outstanding under the revolving credit facility are classified as current and included in Current portion of long-term debt, net on the consolidated balance sheet as of June 30, 2025. Further, the $0.1 million of unamortized debt issuance costs associated with the term loan facility are classified as current and included in Current portion of long-term debt, net and $0.3 million of unamortized debt issuance costs associated with the revolving credit facility are classified as current and included in Other current assets on the consolidated balance sheet as of June 30, 2025. If the bank requires immediate repayment of the outstanding term loan facility and revolving credit facility, the Company would be required to write-off these unamortized debt issuance costs upon extinguishment of the debt (unaudited).</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interest expense, including bank charges and amortization of debt issuance costs on the debt, was $1.4 million and $2.3 million for the three-month periods ended June 30, 2024 and 2025, respectively and $2.3 million and $4.3 million for the six-month periods ended June 30, 2024 and 2025, respectively (unaudited). The increase in interest expense is mostly due to the increase in the interest rate and applicable margin on the term loan facility, the addition of interest expense on the revolving credit facility and the additional 2% penalty being assessed by the lender while the Company is in default. </w:t>
      </w:r>
    </w:p>
    <w:p>
      <w:pPr>
        <w:pStyle w:val="TextBody"/>
        <w:bidi w:val="0"/>
        <w:spacing w:before="240" w:after="240"/>
        <w:jc w:val="left"/>
        <w:rPr>
          <w:rFonts w:ascii="Times New Roman" w:hAnsi="Times New Roman"/>
          <w:sz w:val="20"/>
        </w:rPr>
      </w:pPr>
      <w:r>
        <w:rPr>
          <w:rFonts w:ascii="Times New Roman" w:hAnsi="Times New Roman"/>
          <w:b/>
          <w:color w:val="000000"/>
          <w:sz w:val="20"/>
        </w:rPr>
        <w:t>Note 8. Employee benefit plans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significant employee benefit plans currently consist of a defined contribution plan in the United States and a separate defined contribution plan in the UK. The Company does not offer any other elective postretirement benefit plans, such as retiree medical and dental benefits or deferred compensation agreements to its employees or officers.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U.S.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U.S. regular, full-time employees are eligible to participate in the Cambium Networks, Inc. 401(k) Plan, which is a qualified defined contribution plan under section 401(k) of the Internal Revenue Service Code. Under the Cambium Networks, Inc. 401(k) Plan, the Company contributes a dollar-for-dollar match of the first 4% an employee contributes to the plan. Employees are eligible to participate on the first day of the month following their date of hire and begin receiving company contributions three months after they become eligible to participate in the plan. Company matching contributions are made each pay period, but the funds to not vest until the employee's second anniversary of employment with the Company. Employees are always fully vested in their own contributions. All contributions, including the Company match, are made in cash and invested in accordance with the participants' investment elections. Contributions made by the Company under the Cambium Networks, Inc. 401(k) Plan were $0.2 million and $0.2 million for the three-month periods ended June 30, 2024 and 2025, respectively and $0.4 million and $0.4 million for the six-month periods ended June 30, 2024 and 2024, respectively (unaudited).</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UK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Regular, full-time UK employees are eligible to participate in the Cambium Networks Ltd. Stakeholder Pension Scheme, which is a qualified defined contribution plan. Employees are eligible to participate on the first of the month following receipt of their enrollment form, and eligible employees are automatically enrolled in the plan at a default employee contribution rate of 3% and a company contribution rate of 5% of the employee’s basic salary. The Company contribution rate increases by 1% for each additional 1% that the employee contributes up to a maximum of 7%. Company matching contributions vest immediately and employees are always vested in their own contributions. All contributions, including the Company match, are made in cash and deposited in the participant’s account each pay period. The total contributed by the Company under this plan was $0.1 million and $0.1 million for the three-month periods ended June 30, 2024 and 2025, respectively, and $0.2 million and $0.2 million for the six-month periods ended June 30, 2024 and 2025, respectively (unaudited).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9. Shareholders' equity</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2019 Share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June 2019, the Company’s Board of Directors adopted, and its shareholders approved, the 2019 Share Incentive Plan (“2019 Plan”). The 2019 Plan provides for the grant of incentive share options, nonqualified share options, share appreciation rights, restricted share awards (“RSAs”), restricted share units (“RSUs”), other share-based awards and performance awards. The share reserve under the 2019 Plan is automatically increased on the first day of each fiscal year, beginning with the fiscal year ended December 31, 2020 and will continue until, and including, the fiscal year ending December 31, 2029. The number of shares added annually is equal to the lowest of 1,320,000 shares, 5% of the number of the Company’s shares outstanding on the first day of such fiscal year, or an amount determined by the Board of Directors. The Company added 1,320,000 shares to the 2019 Plan as of January 1, 2025, under this provision. Due to the Company's noncompliance with Nasdaq Listing Rule 5250(c)(1) (the "Filing Rule") for failure to timely file its Form 10-K for the year ended December 31, 2024, the Company was not able to register these additional shares during 2025 to be issued under the 2019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employees, officers, directors, consultants, and advisors are eligible to receive awards under the 2019 Plan. Incentive share options, however, may only be granted to the Company's employees.</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shows total share-based compensation expense for the three-month and six-month periods ended June 30, 2024 and 2025 (unaudited and in thousands):</w:t>
      </w:r>
    </w:p>
    <w:tbl>
      <w:tblPr>
        <w:tblW w:w="8397" w:type="dxa"/>
        <w:jc w:val="left"/>
        <w:tblInd w:w="0" w:type="dxa"/>
        <w:tblLayout w:type="fixed"/>
        <w:tblCellMar>
          <w:top w:w="28" w:type="dxa"/>
          <w:left w:w="28" w:type="dxa"/>
          <w:bottom w:w="28" w:type="dxa"/>
          <w:right w:w="28" w:type="dxa"/>
        </w:tblCellMar>
      </w:tblPr>
      <w:tblGrid>
        <w:gridCol w:w="3436"/>
        <w:gridCol w:w="146"/>
        <w:gridCol w:w="257"/>
        <w:gridCol w:w="697"/>
        <w:gridCol w:w="178"/>
        <w:gridCol w:w="178"/>
        <w:gridCol w:w="257"/>
        <w:gridCol w:w="697"/>
        <w:gridCol w:w="146"/>
        <w:gridCol w:w="146"/>
        <w:gridCol w:w="235"/>
        <w:gridCol w:w="637"/>
        <w:gridCol w:w="162"/>
        <w:gridCol w:w="162"/>
        <w:gridCol w:w="235"/>
        <w:gridCol w:w="637"/>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i/>
          <w:color w:val="000000"/>
          <w:sz w:val="20"/>
        </w:rPr>
        <w:t>Share options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time-based share options typically have a contractual term of ten years from grant date and typically vest over a four-year period. The Company recognizes compensation expense associated with its time-based share options on a straight-line basis over the requisite service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summary of option activity for the Company’s share incentive plans for the six-month period ended June 30, 2025 (unaudited):</w:t>
      </w:r>
    </w:p>
    <w:tbl>
      <w:tblPr>
        <w:tblW w:w="9408" w:type="dxa"/>
        <w:jc w:val="left"/>
        <w:tblInd w:w="0" w:type="dxa"/>
        <w:tblLayout w:type="fixed"/>
        <w:tblCellMar>
          <w:top w:w="28" w:type="dxa"/>
          <w:left w:w="28" w:type="dxa"/>
          <w:bottom w:w="28" w:type="dxa"/>
          <w:right w:w="28" w:type="dxa"/>
        </w:tblCellMar>
      </w:tblPr>
      <w:tblGrid>
        <w:gridCol w:w="4426"/>
        <w:gridCol w:w="146"/>
        <w:gridCol w:w="146"/>
        <w:gridCol w:w="931"/>
        <w:gridCol w:w="166"/>
        <w:gridCol w:w="146"/>
        <w:gridCol w:w="214"/>
        <w:gridCol w:w="582"/>
        <w:gridCol w:w="146"/>
        <w:gridCol w:w="146"/>
        <w:gridCol w:w="289"/>
        <w:gridCol w:w="716"/>
        <w:gridCol w:w="146"/>
        <w:gridCol w:w="146"/>
        <w:gridCol w:w="329"/>
        <w:gridCol w:w="542"/>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3,446,801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Company uses the Black-Scholes option pricing model to estimate the fair value of share options. There were no share options granted during the six-month period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share options is estimated using the following weighted-average assumptions (unaudited):</w:t>
      </w:r>
    </w:p>
    <w:tbl>
      <w:tblPr>
        <w:tblW w:w="7634" w:type="dxa"/>
        <w:jc w:val="left"/>
        <w:tblInd w:w="0" w:type="dxa"/>
        <w:tblLayout w:type="fixed"/>
        <w:tblCellMar>
          <w:top w:w="28" w:type="dxa"/>
          <w:left w:w="28" w:type="dxa"/>
          <w:bottom w:w="28" w:type="dxa"/>
          <w:right w:w="28" w:type="dxa"/>
        </w:tblCellMar>
      </w:tblPr>
      <w:tblGrid>
        <w:gridCol w:w="5566"/>
        <w:gridCol w:w="172"/>
        <w:gridCol w:w="249"/>
        <w:gridCol w:w="551"/>
        <w:gridCol w:w="320"/>
        <w:gridCol w:w="172"/>
        <w:gridCol w:w="604"/>
      </w:tblGrid>
      <w:tr>
        <w:trPr/>
        <w:tc>
          <w:tcPr>
            <w:tcW w:w="5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expected volatility</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grant-date fair value per share of options granted</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At June 30, 2025, there was $7.0 million in unrecognized pre-tax share-based compensation expense, net of estimated forfeitures, related to unvested time-based share option awards. The unrecognized share-based compensation expense is expected to be recognized through the second quarter of 2028 (unaudited).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Restricted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time-based RSUs typically vest over a four-year period. The Company recognizes compensation expense associated with its time-based RSUs on a straight-line basis over the four-year requisite service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summary of restricted shares activity for the Company’s share incentive plan for the six-month period ended June 30, 2025 (unaudited):</w:t>
      </w:r>
    </w:p>
    <w:tbl>
      <w:tblPr>
        <w:tblW w:w="5702" w:type="dxa"/>
        <w:jc w:val="left"/>
        <w:tblInd w:w="0" w:type="dxa"/>
        <w:tblLayout w:type="fixed"/>
        <w:tblCellMar>
          <w:top w:w="28" w:type="dxa"/>
          <w:left w:w="28" w:type="dxa"/>
          <w:bottom w:w="28" w:type="dxa"/>
          <w:right w:w="28" w:type="dxa"/>
        </w:tblCellMar>
      </w:tblPr>
      <w:tblGrid>
        <w:gridCol w:w="3106"/>
        <w:gridCol w:w="146"/>
        <w:gridCol w:w="146"/>
        <w:gridCol w:w="931"/>
        <w:gridCol w:w="166"/>
        <w:gridCol w:w="146"/>
        <w:gridCol w:w="271"/>
        <w:gridCol w:w="599"/>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RSU balance at December 31, 2024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RSUs forfeited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 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time-based RSUs and the performance-based RSUs for which a grant date has been established, as described below.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Of the 149,688 RSUs vested, the Company withheld 42,925 of those shares to pay the employees’ portion of the minimum payroll withholding taxes due at vesting.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fair value of the RSUs is based on the fair value of the Company's ordinary shares on the grant date. There were no RSUs granted during the six-month period ended June 30,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June 30, 2025, there was $3.2 million in unrecognized pre-tax compensation expense, net of estimated forfeitures, related to unvested time-based restricted share units. The unrecognized compensation expense is expected to be recognized through the fourth quarter of 2028 (unaudited).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Performance-based share awards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2023, performance-based share awards were awarded to select executive officers of the Company. The awards contained a performance-based vesting criteria and included 60,000 share options and 135,000 restricted share units. The performance-based awards had two separate annual performance periods, with 50% of the performance-based awards vesting over each of the annual performance periods ended on December 31, 2023 ("First Performance Period") and December 31, 2024 ("Second Performance Period") if the performance goal was met. If the performance goal for that performance period was not met, the performance-based awards did not vest and were forfeited. The performance goal was based on the Company's adjusted earnings per share, as publicly reported by the Company, for each performance period. The method used to measure the fair value of the performance-based awards is consistent with the methods used to measure the fair value of time-based share options and RSUs, as described above.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29, 2024, the Compensation Committee determined the performance goals for the First Performance Period were not achieved and the total potential shares of 62,500 RSUs were forfeited (unaudited).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February 4, 2025, the Compensation Committee determined the performance goals for the Second Performance Period were not achieved and the total potential shares of 37,500 RSUs were forfeited (unaudited).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Employee share purchase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2019, the Company’s Board of Directors adopted, and its shareholders approved, the Employee Share Purchase Plan (“ESPP”). The ESPP was effective on June 25, 2019, and the initial offering period of six months commenced on January 1, 2021. The current offering period of six months commenced on July 1, 2024 and runs through December 31, 2024. The purchase price of the shares is 85% of the lower of the fair market value of the Company’s ordinary shares on the first trading day of the offering period and the purchase date. The ESPP includes an annual increase to the shares available for sale on the first day of each fiscal year beginning in 2020, equal to the lesser of 275,000 shares, 1% of the outstanding shares as of the last day of the immediately preceding fiscal year, or such other amount as the administrator may determine. The Company added 275,000 shares to the ESPP as of January 1, 2025, under this provision. Due to the Company's noncompliance with the Filing Rule, the Company did not register any additional shares in 2025 for the ESPP. In addition, effective January 1, 2025, management temporarily suspended the ESPP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three-month and six-month periods ended June 30, 2024, the Company recognized $0.2 million and $0.4 million, respectively, of share-based compensation expense related to the ESPP. The Company did not recognize share-based compensation expense related to the ESPP for the three-month and six-month periods ended June 30, 2025. There were 279,403 shares issued under the ESPP during the three-month and six-month periods ended June 30, 2024, and there were no shares issued under the ESPP during the three-month and six-month periods ended June 30, 2025 (unaudited). </w:t>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10. Loss per share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Basic net loss per share is computed by dividing net loss by the weighted-average number of shares outstanding during the period. Diluted net loss per share is computed using the treasury method by giving effect to all potentially dilutive ordinary share equivalents outstanding for the period. For purposes of this calculation, share options, RSUs, and ESPP awards are considered to be ordinary share equivalents but are excluded from the calculation of diluted loss per share when including them would have an anti-dilutive effect. Performance-based share awards are only included in the calculation of diluted loss per share if the performance metric would have been achieved as of June 30, 2025 if that had been the end of the contingency period. The following table sets forth the computation of basic and diluted net loss per share (unaudited and in thousands, except for share and per share data):</w:t>
      </w:r>
    </w:p>
    <w:tbl>
      <w:tblPr>
        <w:tblW w:w="10047" w:type="dxa"/>
        <w:jc w:val="left"/>
        <w:tblInd w:w="0" w:type="dxa"/>
        <w:tblLayout w:type="fixed"/>
        <w:tblCellMar>
          <w:top w:w="28" w:type="dxa"/>
          <w:left w:w="28" w:type="dxa"/>
          <w:bottom w:w="28" w:type="dxa"/>
          <w:right w:w="28" w:type="dxa"/>
        </w:tblCellMar>
      </w:tblPr>
      <w:tblGrid>
        <w:gridCol w:w="3766"/>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27,902,956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28,698,597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27,876,280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28,663,817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27,902,956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28,698,597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27,876,280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28,663,817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computation of diluted loss per share for the three-month and six-month periods ended June 30, 2024 and 2025, the Company did not include any share equivalents because their inclusion would have been anti-dilutive (unaudited).</w:t>
      </w:r>
    </w:p>
    <w:p>
      <w:pPr>
        <w:pStyle w:val="TextBody"/>
        <w:bidi w:val="0"/>
        <w:spacing w:before="120" w:after="240"/>
        <w:jc w:val="left"/>
        <w:rPr>
          <w:rFonts w:ascii="Times New Roman" w:hAnsi="Times New Roman"/>
          <w:sz w:val="20"/>
        </w:rPr>
      </w:pPr>
      <w:r>
        <w:rPr>
          <w:rFonts w:ascii="Times New Roman" w:hAnsi="Times New Roman"/>
          <w:b/>
          <w:color w:val="000000"/>
          <w:sz w:val="20"/>
        </w:rPr>
        <w:t>Note 11. Income taxes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Due to forecasting uncertainty for 2024 and 2025, the Company's provision for income taxes at June 30, 2024 and June 30, 2025 are based on the three-month and six-month year-to-date actual results. The Company recorded a provision for income taxes of $0.6 million for the three-month period ended June 30, 2024 and a provision for income taxes of $0.3 million for the three-month period ended June 30, 2025, with an effective tax rate of (4.1)% and (2.9)%, respectively. For the three-month period ended June 30, 2024, the Company's effective tax rate of (4.1)% was different from the statutory rate of 21.0%, primarily due to an increase in the valuation allowance on the net deferred tax assets of the UK company. For the three-month period ended June 30, 2025, the Company’s effective tax rate of (2.9)% was different from the statutory rate of 21.0%, primarily due to an increase in the valuation allowance on the net deferred tax assets of the Company, maintaining a full valuation allowance on the net deferred tax assets.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recorded a provision for income taxes of $2.5 million for the six-month period ended June 30, 2024 and a provision for income taxes of $0.6 million for the six-month period ended June 30, 2025, with an effective tax rate of (8.2)% and (3.1)%, respectively. For the six-month period ended June 30, 2024, the Company's effective tax rate of (8.2)% was different from the statutory rate of 21.0%, primarily due to the establishment of a deferred tax liability on hypothetical withholding tax on non-permanent investment in subsidiaries. For the six-month period ended June 30, 2025, the Company's effective tax rate of (3.1)%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different from the statutory rate of 21.0%, primarily due to an increase in the valuation allowance on the net deferred tax assets of the Company, maintaining a full valuation allowance on the net deferred tax assets.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applying the statutory tax rate in the effective income tax rate reconciliation, the Company used the statutory U.S. federal income tax rate of 21% rather than the Cayman Islands zero percent rate.</w:t>
      </w:r>
    </w:p>
    <w:p>
      <w:pPr>
        <w:pStyle w:val="TextBody"/>
        <w:bidi w:val="0"/>
        <w:spacing w:before="120" w:after="240"/>
        <w:jc w:val="left"/>
        <w:rPr>
          <w:rFonts w:ascii="Times New Roman" w:hAnsi="Times New Roman"/>
          <w:b/>
          <w:color w:val="000000"/>
          <w:sz w:val="20"/>
        </w:rPr>
      </w:pPr>
      <w:bookmarkStart w:id="9" w:name="note11_commitments_contingencies"/>
      <w:bookmarkEnd w:id="9"/>
      <w:r>
        <w:rPr>
          <w:rFonts w:ascii="Times New Roman" w:hAnsi="Times New Roman"/>
          <w:b/>
          <w:color w:val="000000"/>
          <w:sz w:val="20"/>
        </w:rPr>
        <w:t>Note 12. Commitments and contingencies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accordance with ASC 460, </w:t>
      </w:r>
      <w:r>
        <w:rPr>
          <w:rFonts w:ascii="Times New Roman" w:hAnsi="Times New Roman"/>
          <w:i/>
          <w:color w:val="000000"/>
          <w:sz w:val="20"/>
        </w:rPr>
        <w:t>Guarantees</w:t>
      </w:r>
      <w:r>
        <w:rPr>
          <w:rFonts w:ascii="Times New Roman" w:hAnsi="Times New Roman"/>
          <w:color w:val="000000"/>
          <w:sz w:val="20"/>
        </w:rPr>
        <w:t>, the Company recognizes the fair value for guarantee and indemnification arrangements it issues or modifies, if these arrangements are within the scope of authoritative accounting guidance. In addition, the Company must continue to monitor the conditions that are subject to the guarantees and indemnifications in order to identify if a loss has been incurred. If the Company determines it is probable that a loss has occurred, then any such estimated loss would be recognized under those guarantees and indemnifications and would be recognized in the Company’s consolidated statements of operations and comprehensive loss and corresponding consolidated balance sheets during that period.</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Amended credit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Amended Credit Agreement contains customary provisions with respect to the consequences of a “Default” or “Event of Default” as defined therein, including a restriction on the ability to access further borrowings as well as other customary rights and remedies available to the lender upon a Default or Event of Default. These include the ability to impose a default rate interest rate, prohibiting us from reinvesting asset sale proceeds, limiting repayment of intercompany debt and investment in non-loan party subsidiaries, limiting acquisitions, certain asset sales and assumption of indebtedness, and acceleration of the outstanding obligations and exercise of other remedies under the Amended Credit Agreement, among other customary restrictions.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Purchase commitments with contract manufacturers and suppliers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purchases components from a variety of suppliers and use contract manufacturers to provide manufacturing services for our products and issue purchase orders for these products and services. During the normal course of business, in order to manage manufacturing lead times and help ensure adequate component supply, the Company enters into agreements with contract manufacturers and suppliers that allow them to procure inventory and components based upon criteria as defined by us, such as forecasted demand. The Company may be liable to purchase excess product or aged material from its suppliers following reasonable mitigation efforts. The Company establishes a loss on supplier commitments liability for all product the supplier has procured for which the Company does not expect it will sell. Such loss on purchase commitment liability is included in Accrued liabilities and Other noncurrent liabilities on the Company's consolidated balance sheets, based on the timing of when the liability is expected to be resolved.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Warranties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offers a standard warranty on its products, with the term depending on the product, and records a liability for the estimated future costs associated with potential warranty claims. The Company’s responsibility under its standard warranty is the repair or replacement of in-warranty defective product, or to credit the purchase price of the defective product, at its discretion, without charge to the customer. The Company’s estimate of future warranty costs is largely based on historical experience factors including product failure rates, material usage, and service delivery cost incurred in correcting product failures. The standard warranty is included in either Other current liabilities or Other noncurrent liabilities on the Company's consolidated balance sheets, depending on the time period covered by the warranty. The Company also offers an extended warranty for purchase that represents a future performance obligation for the Company. The extended warranty is included in deferred revenues (both current and noncurrent) on the consolidated balance sheets and recognized on a straight-line basis over the term of the extended warranty. The warranty costs are reflected in the Services cost of revenues on the consolidated statements of operations and comprehensive loss.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generally indemnifies its distributors against claims brought by a third party to the extent any such claim alleges that the Company’s product infringes a patent, copyright or trademark or violates any other proprietary rights of that third party. Although the Company generally tries to limit the maximum amount of potential future liability under its indemnification obligations, in certain agreements this liability may be unlimited. The maximum potential amount of future payments the Company may be required to make under these indemnification agreements is not estimable. The Company did not make any payments under indemnification agreements for the three-month and six-month periods ended June 30, 2024 or 2025 (unaudited).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indemnifies its directors and officers and select key employees, including key employees serving as directors or officers of the Company’s subsidiaries, for certain events or occurrences, subject to certain limits, while the director or officer is or was serving at the Company’s request in such capacity. The term of the indemnification period is for the director’s or officer’s term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service. The Company may terminate the indemnification agreements with its directors, officers or key employees upon the termination of their services as directors or officers of the Company or its subsidiaries, or the termination of activities for which indemnification has been provided, but termination will not affect claims for indemnification related to events occurring prior to the effective date of termination. The maximum amount of potential future indemnification is unlimited; however, the Company has a director and officer insurance policy that limits its exposure. The Company believes the fair value of these indemnification agreements is minimal.</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Third parties may from time to time assert legal claims against the Company. The Company records accruals for loss contingencies to the extent that it concludes it is probable that a liability has been incurred and the amount of the related loss can be reasonably estimated. The Company evaluates, on a regular basis, developments in legal proceedings and other matters that could cause a change in amounts recorded. Due to the inherent uncertainty involving legal matters, the ultimate resolution could differ from amounts recorded. There is no pending or threatened legal proceedings to which the Company is a party, that in the Company’s opinion, is likely to have a material adverse effect on its financial condition or results of operations.</w:t>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13. Segment information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in a single reportable segment providing fixed wireless broadband and Wi-Fi networking infrastructure solutions. This segment generates revenue primarily from the sale of hardware products, but also includes revenues from software products, extended warranty and subscription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its operation of the business, management, including our chief operating decision maker (“CODM”) who is also our Chief Executive Officer (“CEO”), reviews financial information regularly at the consolidated level. Net loss is used as the metric for purposes of allocating resources and evaluating performance. The CODM monitors forecast versus actual net loss for purposes of determining the general health of the Company and assessing the performance of the Company as compared to management's expectations. The Company does not have any intra-entity sales or transfers. Significant expenses reviewed by the CODM include those that are presented in the consolidated statements of operations and comprehensive loss.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See Note 14. Revenues from contracts with customers for additional information about the Company's revenues by product category and geography.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the Company operates solely within one segment, total assets, property and equipment, net and software, net are reported at the consolidated level on the consolidated balance sheets. The Company's assets include both current and long-lived assets. As of December 31, 2024 and June 30, 2025, segment assets were equal to total consolidated assets included in the consolidated balance sheets of $173.7 million and $148.7 million,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long-lived assets, including the Company's property and equipment, software, operating lease right-of-use assets, goodwill and intangibles, and noncurrent assets, but excluding deferred tax assets, recognized in the consolidated balance sheets were geographically located as follows (in thousands):</w:t>
      </w:r>
    </w:p>
    <w:tbl>
      <w:tblPr>
        <w:tblW w:w="5545" w:type="dxa"/>
        <w:jc w:val="left"/>
        <w:tblInd w:w="0" w:type="dxa"/>
        <w:tblLayout w:type="fixed"/>
        <w:tblCellMar>
          <w:top w:w="28" w:type="dxa"/>
          <w:left w:w="28" w:type="dxa"/>
          <w:bottom w:w="28" w:type="dxa"/>
          <w:right w:w="28" w:type="dxa"/>
        </w:tblCellMar>
      </w:tblPr>
      <w:tblGrid>
        <w:gridCol w:w="2706"/>
        <w:gridCol w:w="146"/>
        <w:gridCol w:w="260"/>
        <w:gridCol w:w="835"/>
        <w:gridCol w:w="146"/>
        <w:gridCol w:w="146"/>
        <w:gridCol w:w="217"/>
        <w:gridCol w:w="698"/>
        <w:gridCol w:w="391"/>
      </w:tblGrid>
      <w:tr>
        <w:trPr/>
        <w:tc>
          <w:tcPr>
            <w:tcW w:w="2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impairment, property and equipment additions and capital software additions are reported at the consolidated level on the consolidated statements of cash flows. Additional significant non-cash items include the following (unaudited and in thousands):</w:t>
      </w:r>
    </w:p>
    <w:tbl>
      <w:tblPr>
        <w:tblW w:w="9433" w:type="dxa"/>
        <w:jc w:val="left"/>
        <w:tblInd w:w="0" w:type="dxa"/>
        <w:tblLayout w:type="fixed"/>
        <w:tblCellMar>
          <w:top w:w="28" w:type="dxa"/>
          <w:left w:w="28" w:type="dxa"/>
          <w:bottom w:w="28" w:type="dxa"/>
          <w:right w:w="28" w:type="dxa"/>
        </w:tblCellMar>
      </w:tblPr>
      <w:tblGrid>
        <w:gridCol w:w="4251"/>
        <w:gridCol w:w="146"/>
        <w:gridCol w:w="257"/>
        <w:gridCol w:w="697"/>
        <w:gridCol w:w="178"/>
        <w:gridCol w:w="178"/>
        <w:gridCol w:w="257"/>
        <w:gridCol w:w="697"/>
        <w:gridCol w:w="166"/>
        <w:gridCol w:w="146"/>
        <w:gridCol w:w="228"/>
        <w:gridCol w:w="617"/>
        <w:gridCol w:w="157"/>
        <w:gridCol w:w="157"/>
        <w:gridCol w:w="228"/>
        <w:gridCol w:w="682"/>
        <w:gridCol w:w="391"/>
      </w:tblGrid>
      <w:tr>
        <w:trPr/>
        <w:tc>
          <w:tcPr>
            <w:tcW w:w="4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inventory excess and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14. Revenues from contracts with customers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consist primarily of revenues from the sale of hardware products. Revenues also include amounts for software products, extended warranty on hardware products and software subscription services. Substantially all products are sold through distributors and other channel partners, such as resellers and systems integrators.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recognizes revenue to reflect the transfer of control of promised products or services to a customer in an amount that reflects the consideration to which the Company expects to be entitled in exchange for those products or services.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Disaggregation of revenues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by product category were as follows (unaudited and in thousands, except percentages):</w:t>
      </w:r>
    </w:p>
    <w:tbl>
      <w:tblPr>
        <w:tblW w:w="10498" w:type="dxa"/>
        <w:jc w:val="left"/>
        <w:tblInd w:w="0" w:type="dxa"/>
        <w:tblLayout w:type="fixed"/>
        <w:tblCellMar>
          <w:top w:w="28" w:type="dxa"/>
          <w:left w:w="28" w:type="dxa"/>
          <w:bottom w:w="28" w:type="dxa"/>
          <w:right w:w="28" w:type="dxa"/>
        </w:tblCellMar>
      </w:tblPr>
      <w:tblGrid>
        <w:gridCol w:w="1801"/>
        <w:gridCol w:w="146"/>
        <w:gridCol w:w="211"/>
        <w:gridCol w:w="676"/>
        <w:gridCol w:w="146"/>
        <w:gridCol w:w="146"/>
        <w:gridCol w:w="146"/>
        <w:gridCol w:w="421"/>
        <w:gridCol w:w="271"/>
        <w:gridCol w:w="146"/>
        <w:gridCol w:w="211"/>
        <w:gridCol w:w="676"/>
        <w:gridCol w:w="146"/>
        <w:gridCol w:w="146"/>
        <w:gridCol w:w="146"/>
        <w:gridCol w:w="421"/>
        <w:gridCol w:w="271"/>
        <w:gridCol w:w="146"/>
        <w:gridCol w:w="211"/>
        <w:gridCol w:w="676"/>
        <w:gridCol w:w="146"/>
        <w:gridCol w:w="146"/>
        <w:gridCol w:w="146"/>
        <w:gridCol w:w="421"/>
        <w:gridCol w:w="271"/>
        <w:gridCol w:w="146"/>
        <w:gridCol w:w="211"/>
        <w:gridCol w:w="676"/>
        <w:gridCol w:w="146"/>
        <w:gridCol w:w="146"/>
        <w:gridCol w:w="146"/>
        <w:gridCol w:w="421"/>
        <w:gridCol w:w="316"/>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Restated)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Restated)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Point-to-Multi-Point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Point-to-Point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Enterprise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Company’s products are predominately distributed through a third-party logistics providers in the United States, Netherlands and Vietnam. The Company has determined the geographical distribution of product revenues based upon the ship-to destinations.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by geography were as follows (unaudited and in thousands, except percentages):</w:t>
      </w:r>
    </w:p>
    <w:tbl>
      <w:tblPr>
        <w:tblW w:w="10205" w:type="dxa"/>
        <w:jc w:val="left"/>
        <w:tblInd w:w="0" w:type="dxa"/>
        <w:tblLayout w:type="fixed"/>
        <w:tblCellMar>
          <w:top w:w="28" w:type="dxa"/>
          <w:left w:w="28" w:type="dxa"/>
          <w:bottom w:w="28" w:type="dxa"/>
          <w:right w:w="28" w:type="dxa"/>
        </w:tblCellMar>
      </w:tblPr>
      <w:tblGrid>
        <w:gridCol w:w="1308"/>
        <w:gridCol w:w="146"/>
        <w:gridCol w:w="211"/>
        <w:gridCol w:w="676"/>
        <w:gridCol w:w="146"/>
        <w:gridCol w:w="146"/>
        <w:gridCol w:w="146"/>
        <w:gridCol w:w="421"/>
        <w:gridCol w:w="271"/>
        <w:gridCol w:w="146"/>
        <w:gridCol w:w="211"/>
        <w:gridCol w:w="676"/>
        <w:gridCol w:w="146"/>
        <w:gridCol w:w="146"/>
        <w:gridCol w:w="146"/>
        <w:gridCol w:w="421"/>
        <w:gridCol w:w="271"/>
        <w:gridCol w:w="146"/>
        <w:gridCol w:w="211"/>
        <w:gridCol w:w="676"/>
        <w:gridCol w:w="146"/>
        <w:gridCol w:w="146"/>
        <w:gridCol w:w="146"/>
        <w:gridCol w:w="421"/>
        <w:gridCol w:w="271"/>
        <w:gridCol w:w="146"/>
        <w:gridCol w:w="211"/>
        <w:gridCol w:w="676"/>
        <w:gridCol w:w="146"/>
        <w:gridCol w:w="146"/>
        <w:gridCol w:w="146"/>
        <w:gridCol w:w="421"/>
        <w:gridCol w:w="516"/>
      </w:tblGrid>
      <w:tr>
        <w:trPr/>
        <w:tc>
          <w:tcPr>
            <w:tcW w:w="1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Restated)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Restated)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contract balances as of December 31, 2024 and June 30, 2025 (in thousands):</w:t>
      </w:r>
    </w:p>
    <w:tbl>
      <w:tblPr>
        <w:tblW w:w="8430" w:type="dxa"/>
        <w:jc w:val="left"/>
        <w:tblInd w:w="0" w:type="dxa"/>
        <w:tblLayout w:type="fixed"/>
        <w:tblCellMar>
          <w:top w:w="28" w:type="dxa"/>
          <w:left w:w="28" w:type="dxa"/>
          <w:bottom w:w="28" w:type="dxa"/>
          <w:right w:w="28" w:type="dxa"/>
        </w:tblCellMar>
      </w:tblPr>
      <w:tblGrid>
        <w:gridCol w:w="5791"/>
        <w:gridCol w:w="146"/>
        <w:gridCol w:w="260"/>
        <w:gridCol w:w="835"/>
        <w:gridCol w:w="146"/>
        <w:gridCol w:w="146"/>
        <w:gridCol w:w="217"/>
        <w:gridCol w:w="698"/>
        <w:gridCol w:w="19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receivable, net of allowance for estimated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returns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Deferred revenue consists of amounts due or received from customers in advance of the Company satisfying performance obligations under contractual arrangements, such as software subscriptions and extended warranty. Deferred revenue is classified as current or noncurrent based on the timing of when revenue will be recognized.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sales returns is the estimated amount expected to be returned by customers in relation to product exchanges made as part of the Company’s stock rotation program. This amount is included within Other current liabilities in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Receivables and concentration of credit risk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Trade accounts receivable represents amounts billed and currently due from customers and amounts earned that are to be billed in the future (e.g., accrued accounts receivable). Included in accrued accounts receivable are software subscription revenues earned in the current period but billed in the following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considers the credit risk of all customers and regularly monitors credit risk exposure in its trade receivables. The Company’s standard credit terms with its customers are generally net 30 to 60 days. The Company had one customer representing more than 10% of trade receivables at December 31, 2024 and one customer representing more than 10% of trade receivables at June 30, 2025.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Remaining performance obligations represent the revenue that is expected to be recognized in future periods associated with performance obligations included in a contract that are unsatisfied, or partially satisfied, as of the end of the reporting date. The Company's remaining performance obligations relate primarily to software subscriptions and extended warranty, which are recognized as revenue over time and presented as deferred revenue in the consolidated balance sheets.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material changes in the amount or timing of recognition of the Company's remaining performance obligations from those disclosed in the Company's Comprehensive Form 10-K for the year ended December 31, 2024 (unaudited).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 recognized during the three-month period ended June 30, 2025 which was previously included in deferred revenues as of December 31, 2024 was $2.3 million, compared to $2.4 million of revenue recognized during the three-month period ended June 30, 2024, which was previously included in deferred revenues as of December 31, 2023. Revenue recognized during the six-month period ended June 30, 2025, which was previously included in deferred revenues as of December 31, 2024 was $5.0 million, compared to $5.1 million of revenue recognized during the six-month period ended June 30, 2024, which was previously included in deferred revenues as of December 31, 2023 (unaudited).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Cost to obtain a contract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Sales commissions are incremental costs of obtaining a contract. The Company has elected to recognize these expenses as incurred, as the amortization period of these costs is one year or less.</w:t>
      </w:r>
    </w:p>
    <w:p>
      <w:pPr>
        <w:pStyle w:val="TextBody"/>
        <w:bidi w:val="0"/>
        <w:spacing w:before="120" w:after="240"/>
        <w:jc w:val="left"/>
        <w:rPr>
          <w:rFonts w:ascii="Times New Roman" w:hAnsi="Times New Roman"/>
          <w:sz w:val="20"/>
        </w:rPr>
      </w:pPr>
      <w:r>
        <w:rPr>
          <w:rFonts w:ascii="Times New Roman" w:hAnsi="Times New Roman"/>
          <w:b/>
          <w:color w:val="000000"/>
          <w:sz w:val="20"/>
        </w:rPr>
        <w:t>Note 15. Related party transactions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the three-month and six-month periods ended June 30, 2024 and 2025, the Company did not have any material related party transactions to disclose (unaudited).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Note 16. Restructuring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2023, the Company initiated two corporate cost reductions plans, the first in August 2023 and the second in November 2023, to better align Cambium's cost structure with current economic conditions and position the Company to achieve near-term and long-term targets to maintain profitability, improve cash flow and maintain a strong balance sheet. The cost reductions include a reduction in the Company's workforce and primarily include one-time termination costs. All costs under these 2023 plans were recognized by December 31, 2024 and reductions under these plans are complete. As of December 31, 2024, the Company had a restructuring liability of $0.1 million related to the November 2023 restructuring, which was included in Accrued liabilities in the Company's consolidated balance sheet and was paid in the first quarter of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February 24, 2025, the Company announced and initiated another cost reduction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three-month period ended June 30, 2025, the Company incurred additional restructuring charges under the February 2025 plan related to one-time termination costs of approximately $1.8 million which is included in cost of revenues and all operating expense lines in the Company's consolidated statements of operations and comprehensive loss. Through June 30, 2025, the Company paid $1.6 million, which consists of the $0.1 million outstanding at December 31, 2024 plus an additional $1.5 million of the costs incurred during the three-month period ended June 30, 2025. As of June 30, 2025, the Company has a restructuring liability of $0.3 million, which is included in Accrued liabilities in the consolidated balance sheets and is expected to be paid in the third quarter of 2025 (unaudited).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reflects the restructuring liability activity for the six-month period ended June 30, 2025 (unaudited and in thousands):</w:t>
      </w:r>
    </w:p>
    <w:tbl>
      <w:tblPr>
        <w:tblW w:w="5460" w:type="dxa"/>
        <w:jc w:val="left"/>
        <w:tblInd w:w="0" w:type="dxa"/>
        <w:tblLayout w:type="fixed"/>
        <w:tblCellMar>
          <w:top w:w="28" w:type="dxa"/>
          <w:left w:w="28" w:type="dxa"/>
          <w:bottom w:w="28" w:type="dxa"/>
          <w:right w:w="28" w:type="dxa"/>
        </w:tblCellMar>
      </w:tblPr>
      <w:tblGrid>
        <w:gridCol w:w="4261"/>
        <w:gridCol w:w="146"/>
        <w:gridCol w:w="211"/>
        <w:gridCol w:w="631"/>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liability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February 2025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paid - November 2023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paid - February 2025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liability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17. Subsequent events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Nasdaq Noncompliance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March 25, 2026, the Company received a written notice that the Nasdaq Hearings Panel (the “Hearings Panel”) had determined to delist the Company's ordinary shares from The Nasdaq Global Market due to the Company's failure to comply with the terms of the Hearings Panel's prior decision. Trading in the Company's ordinary shares was suspended at the open of trading on March 27, 2026. Trading in the Company's ordinary shares under the symbol "CMBMF" on the OTC Expert Market began on March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had previously received a deficiency letter from the Listing Qualifications Department (the “Staff”) of the Nasdaq Stock Market LLC (“Nasdaq”) on April 10, 2025, notifying the Company that, it had failed to comply with the $1.00 per share minimum bid price requirement for continued inclusion on The Nasdaq Global Market pursuant to Nasdaq Listing Rule 5450(a)(1) (the “Bid Price Rule”). The Company received additional deficiency letters from the Staff on April 16, 2025, May 22, 2025, August 25, 2025 and November 25, 2025, notifying the Company that it was not in compliance with the requirements of Nasdaq Listing Rule 5250(c)(1) (the "Filing Rule") for failure to timely file its Form 10-K for the year ended December 31, 2024 and its Quarterly reports on Form 10-Q for the periods ended March 31, 2025, June 30, 2025 and September 30, 2025, respectively (the “Delinquent Filing”).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November 11, 2025, the Company presented its plan of compliance before the Nasdaq Hearings Panel and requested a continued stay of its delisting pending achieving full compliance by filing the Delinquent Filings within the time requested under the plan of compliance. On December 3, 2025, the Company received a decision (the “Decision Letter”) from the Hearings Panel granting the Company’s request for continued listing of the Company’s ordinary shares, subject to the Company demonstrating compliance with the Bid Price Rule and the Filing Rule, on or before April 16, 2026, but subject to interim filing dates as set forth in the decision.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December 12, 2025, the Company received a partial compliance letter from the Hearings Panel confirming the Company is in compliance with the Bid Price Rule, although it remained non-compliant with the Filing Rule.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9, 2026, the Company received a further determination letter stating that because the Company did not hold an annual meeting of shareholders within twelve months from the Company's prior fiscal year end as required by Nasdaq Listing Rule 5620(a), the resulting non-compliance serves as an additional basis for delisting the Company's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was unable to meet the interim filing deadlines set forth in the Decision Letter, and requested extensions to the February 6, 2026 interim deadline, with additional extensions requested to March 16, 2026 and to March 23, 2026 were granted by the Hearing Panel.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The following discussion and analysis of financial condition and results of operation should be read in conjunction with the consolidated financial statements and related notes thereto of Cambium Networks Corporation (“Cambium”, “we”, “our”, or “us”) included elsewhere in this Quarterly Report on Form 10-Q and with the financial statements and related notes and Management’s Discussion and Analysis in our Comprehensive Form 10-K for the fiscal year ended December 31, 2024, filed April 7, 2026. In our Comprehensive Form 10-K for the year ended December 31, 2024, we restated financial statements for the three-month and six- month periods ended June 30, 2024. The financial results included herein for this period reflect the impact of the restatement. Results for the three-month period ended June 30, 2025 are not necessarily indicative of the results that may be expected for any period in the future.</w:t>
      </w:r>
    </w:p>
    <w:p>
      <w:pPr>
        <w:pStyle w:val="TextBody"/>
        <w:bidi w:val="0"/>
        <w:spacing w:before="120" w:after="120"/>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Cambium Networks is a global technology company that designs, develops, and manufactures fixed wireless and PON/XGSPON based broadband, Wi-Fi, and local area networking ("LAN") switching infrastructure, and security gateway solutions for a wide range of applications, including broadband access, wireless backhaul, Internet of Things ("IoT"), public safety communications, and Wi-Fi access. Our products enable service providers, enterprises, industrial organizations, and governments to deliver exceptional digital experiences and device connectivity, with compelling economics. Our ONE network platform simplifies the management of Cambium Networks' wired and wireless technologies. Our product lines fall into three broad, interrelated categories: Fixed Wireless &amp; fiber Broadband ("FWB"), Enterprise networking, and Subscription and Services.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FWB portfolio spans point-to-point ("PTP") and point-to-multi-point ("PMP") architectures over multiple standards, and frequency bands, including licensed, unlicensed, and lightly licensed spectrum, and fiber products. During 2024, both our PMP4600 and PMP 450v platforms received Federal Communications Commission ("FCC") approval to operate in the recently released 6 GHz band in conjunction with our approved Automated Frequency Coordination ("AFC") service.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Enterprise portfolio includes a complete range of indoor and outdoor Wi-Fi access points, indoor and hardened copper and optical-based Ethernet switches, and security gateway and software-defined wide area network ("SD-WAN") devices. During 2024, we introduced our first Wi-Fi 7 access point, the X7-35X, which was supplemented by the X7-53X and X7-55X in September 2025. These three Wi-Fi 7 access points will be complemented with a broad range of indoor and outdoor Wi-Fi 7 solutions as the industry transition to Wi-Fi 7 occurs.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Subscription and Services portfolio includes network planning and design, and cloud or on-premises network management and control solutions. The latter capability, delivered through subscription to cnMaestro X, forms the foundation of our ONE Network, a cloud-based network management architecture that allows users to remotely configure, monitor, and manage their wired and wireless networks. It provides a single, centralized view of all Cambium Network devices, and real-time performance and usage data, allowing users to control and optimize network configuration and settings. Advanced services offered in conjunction with this platform include application visibility and control, which is used to optimize end-user experiences; and "Assurance" which allows network administrators the ability to rapidly troubleshoot network issues using Artificial Intelligence ("AI")-powered root cause analysis with proactive resolution, ensuring service level agreements are met and preventing client impact. The Network Service Edge ("NSE"), an integrated security gateway and SD-WAN service for small and medium businesses, may also be associated with a subscription for network security services. </w:t>
      </w:r>
    </w:p>
    <w:p>
      <w:pPr>
        <w:pStyle w:val="TextBody"/>
        <w:bidi w:val="0"/>
        <w:spacing w:before="0" w:after="120"/>
        <w:jc w:val="left"/>
        <w:rPr>
          <w:rFonts w:ascii="Times New Roman" w:hAnsi="Times New Roman"/>
          <w:sz w:val="20"/>
        </w:rPr>
      </w:pPr>
      <w:r>
        <w:rPr>
          <w:rFonts w:ascii="Times New Roman" w:hAnsi="Times New Roman"/>
          <w:b/>
          <w:i/>
          <w:color w:val="000000"/>
          <w:sz w:val="20"/>
        </w:rPr>
        <w:t>Trends impacting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Macroeconomic factors such as higher interest rates and inflationary pressures, which impact private sector capital investment, and concerns about a global economic slowdown and geopolitical conditions have added to the softened demand for our products and services that we experienced over 2023 and 2024 coming out of the pandemic, and increased our cost of revenues and impacted, and may continue to impact, our gross margin. We continue to see a high level of competition in our industry due to slower demand and aggressive pricing. We also see increased competition and pricing pressure from new competitors such as Starlink significantly driving down global connectivity prices, with satellite bandwidth costs dropping roughly 77% over the last five years due to its rapid constellation deployment and lower manufacturer costs. We have also seen increased competition from mobile network operators who are using excess capacity in their mobile network to address fixed wireless broadband needs, and from original design manufacturers who are trying to increase their market share by selling directly to major telecommunications providers. We believe that these market pressures will continue to negatively impact revenues and gross margins for the foreseeable future. We may continue to face risks of technology shifts that could result in inventory becoming obsolete before it is deployed, including as the industry continues its shift to Wi-Fi 7.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also impacted by the increases in the prices of memory chips from our semiconductor suppliers. Prices for memory chips have increased rapidly for newer generations of memory, which has had an impact on the supply of current memory, impacting components for both Wi-Fi 7 and Wi-Fi 6. We expect this to continue for the foreseeable future due to the scaling of AI data centers.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spent 2025 moving production of select products from a third-party manufacturer in Mexico, to a third-party manufacturer in Thailand. The move has been challenged by logistics and production issues due to the complexity of the impacted products as well as challenges present when utilizing a new manufacturer. While the majority of impacted products are in production, issues of scale, yield and supply chain continue to limit our ability to meet customer demand, and this may continue into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continue to monitor the impact of macroeconomic factors, including a potential global recession, inflationary pressures, monetary policy shifts, trade wars, and growing political tensions globally that continue to impact our industry and our business. We also believe that our customers continue to grapple with the impact of these macroeconomic factors on their businesses and future investment plans, leading to business uncertainty and a more constrained approach to forecasts and orders, and decreasing visibility into customer demand. Any prolonged economic disruptions, continued uncertainty over global trade wars, as well as further deterioration in the global economy or continued outbreaks of international hostilities could have a negative impact on demand from our customers in future periods.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impact of reverse globalization, including a more nationalistic trend globally leading to increasing government requirements for domestically produced products or limiting the sourcing of components and other products from China and elsewhere, has led us to limit our reliance on third-party manufacturers in China and move manufacturing to other locations, particularly Thailand, which has caused some disruptions in our supply operations, together with the impact of moving manufacture of some products to suppliers who have no recent experience building similar products. Nationalistic trends are occurring in various geographies which may make it impractical for us to do business in some countries.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Credit Agreement Default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continue to be out of compliance with financial and other covenants under our Amended Credit Agreement with Bank of America, and such defaults continued through 2025 and into 2026. In addition, we ceased payment of required quarterly principal and interest on the term loan facility and of periodic interest on the revolving credit facility as of June 2025. Such defaults afford the lender the right to declare the amounts outstanding immediately due and payable. We continue to have regular discussions with the lender, we have not been able to obtain a waiver of the defaults from the lender, or otherwise refinance the indebtedness. If the lender were to accelerate the maturity and declare the full outstanding principal and interest immediately due and payable, we would not be able to repay the debt, and therefore, there is substantial uncertainty we would be able to continue as a going concern. Absent acceleration, our Amended Credit Agreement mature on November 17, 2026. Absent an infusion of capital from financing or divestiture, we will be unable to repay this indebtedness when it comes due. Refer to Note 7. Debt, to our consolidated financial statements of this Quarterly Report on Form 10-Q for additional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continue to take actions to improve our profitability and focus on operating efficiency and therefore are reducing discretionary spending, deferring capital expenditures and implementing cost reductions to align our cost structure with current and expected revenue levels. We are actively seeking additional capital through possible divestitures and/or capital raising transactions and working on accommodation with our lenders to provide us with the financial flexibility needed to meet our obligations as they come due over the next twelve months. Our ability to achieve these objectives depends in part on our expectations regarding macro-conditions in the markets in which we compete, customer acceptance and purchases of our products, buying decisions by our distributors, improvements in our manufacturing challenges with transition to new manufacturers, and other factors that are not all within our control.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Restatement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course of preparing our financial statements for the fiscal year ended December 31, 2024, we identified material weaknesses in our internal controls over financial reporting that led to errors in the financial statements previously filed for the three-month and six-month periods ended June 30, 2024. The financial results included herein for the three-month and six-months periods ended June 30, 2024 reflect the impact of this restatement. Refer to the Explanatory Note and Note 19. Restatement of previously issued unaudited interim financial statements in the Notes to the consolidated financial statements included the Comprehensive Form 10-K for the fiscal year ended December 31, 2024, filed with the SEC on April 7, 2026, for a discussion of the drivers and impact of the restatement.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Financial results for the three-month period ended June 30, 2025</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revenue was $39.4 million, a decrease of 12.9% year-over-year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Gross margin was 40.8%</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costs of revenues and operating expenses, including impairment, were $46.0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Operating loss was $6.6 million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Net loss was $9.1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left"/>
        <w:rPr>
          <w:rFonts w:ascii="Times New Roman" w:hAnsi="Times New Roman"/>
          <w:color w:val="000000"/>
          <w:sz w:val="20"/>
        </w:rPr>
      </w:pPr>
      <w:r>
        <w:rPr>
          <w:rFonts w:ascii="Times New Roman" w:hAnsi="Times New Roman"/>
          <w:color w:val="000000"/>
          <w:sz w:val="20"/>
        </w:rPr>
        <w:t xml:space="preserve">Our revenues are generated primarily from the sale of hardware products with essential embedded software. Our revenues also include amounts for software products, extended warranty on hardware products and subscription services. We generally recognize product revenues at the time of shipment, provided that all other revenue recognition criteria have been met and we measure revenue based on the consideration to which we expect to be entitled based on customer contracts. We recognize subscription services revenue ratably over the term in which the services are provided and our performance obligation is satisfied. Revenues are adjusted for variable consideration amounts, including but not limited to estimated stock returns, customer incentives, and cooperative marketing allowances that we provide to distributors. We provide a standard warranty on our hardware products, with the term depending on the product, and record a liability for the estimated future costs associated with potential warranty claims. In addition, we also offer extended warranties for purchase that represents a future performance obligation for us. The extended warranty is included in deferred revenues and is recognized on a straight-line basis over the term of the extended warranty.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Cost of revenues and gross profit</w:t>
      </w:r>
    </w:p>
    <w:p>
      <w:pPr>
        <w:pStyle w:val="TextBody"/>
        <w:bidi w:val="0"/>
        <w:jc w:val="left"/>
        <w:rPr>
          <w:rFonts w:ascii="Times New Roman" w:hAnsi="Times New Roman"/>
          <w:color w:val="000000"/>
          <w:sz w:val="20"/>
        </w:rPr>
      </w:pPr>
      <w:r>
        <w:rPr>
          <w:rFonts w:ascii="Times New Roman" w:hAnsi="Times New Roman"/>
          <w:color w:val="000000"/>
          <w:sz w:val="20"/>
        </w:rPr>
        <w:t xml:space="preserve">Our cost of revenues is comprised primarily of the costs of procuring finished goods from our third-party manufacturers, third-party logistics and warehousing provider costs, freight costs, and warranty costs. We outsource our manufacturing to third-party manufacturers located primarily in Thailand, Vietnam, Philippines, and Taiwan. Cost of revenues also includes costs associated with supply operations, including personnel and related allocated overhead costs, provision for excess and obsolete inventory, loss on supplier commitment expense, third-party license costs and third-party costs related to services we provide. Cost of revenues also includes amortization of capitalized software costs associated with products to be sold, and charges for excess and obsolescence and losses on supplier commitments.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has been and will continue to be affected by various factors, including changes in product mix. The margin profile of products within each of our core product categories can vary significantly depending on the operating performance, features and manufacturer of the product. Generally, our gross margins on backhaul and fixed wireless access point products are greater than those on our CPE products. Because the ratio of CPE to PTP and PMP access points typically increases as network operators build out the density of their networks, increases in follow-on sales to network operators as a percentage of our total sales generally have a downward effect on our overall gross margins. Finally, gross margin will also vary as a function of changes in pricing due to competitive pressure, our third-party manufacturing and other production costs, cost of shipping and logistics, provision for excess and obsolete inventory, loss on supplier commitments, and other factors. We expect our gross margins will fluctuate from period to period depending on the interplay of these various factors.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We classify our operating expenses as research and development, sales and marketing, and general and administrative expense. Personnel costs are the primary component of each of these operating expense categories, which consist of costs such as salaries, sales commissions, benefits, and bonuses, as well as share-based compensation expense. Depreciation and amortization of long-lived assets is separately disclosed in the statements of operations and comprehensive loss. In 2025, we recorded impairment of software for external sale and this is separately disclosed in the statements of operations.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personnel costs, research and development expense consists of costs associated with the design and development of our products, product certification, travel, recruiting, shared facility and shared IT costs. We generally recognize research and development expense as incurred. For certain of our software projects under development, we capitalize the development cost during the period between determining technological feasibility of the product and commercial release. We amortize the capitalized development cost upon commercial release, generally over three years, and include the amortization costs in cost of revenues on our statements of operations. We typically do not capitalize costs related to the development of first-generation product offerings as technological feasibility generally coincides with general availability of the software.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to personnel costs for sales, marketing, service and product line management personnel, sales and marketing expenses consist of our training programs, trade shows, marketing programs, promotional materials, demonstration equipment, national and local regulatory approval on our products, travel and entertainment, recruiting and shared facilities and shared IT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to personnel-related costs, general and administrative expenses consist of professional fees, such as legal, audit, accounting, information technology and consulting costs, insurance, shared facilities and shared IT costs, and other supporting overhead costs.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Depreciation and amortization expenses consist of depreciation related to fixed assets such as computer equipment, furniture and fixtures, and testing equipment, as well as amortization related to acquired and software for internal use and definite lived intangibles.</w:t>
      </w:r>
    </w:p>
    <w:p>
      <w:pPr>
        <w:pStyle w:val="TextBody"/>
        <w:bidi w:val="0"/>
        <w:jc w:val="left"/>
        <w:rPr>
          <w:rFonts w:ascii="Times New Roman" w:hAnsi="Times New Roman"/>
          <w:b/>
          <w:i/>
          <w:color w:val="000000"/>
          <w:sz w:val="20"/>
        </w:rPr>
      </w:pPr>
      <w:r>
        <w:rPr>
          <w:rFonts w:ascii="Times New Roman" w:hAnsi="Times New Roman"/>
          <w:b/>
          <w:i/>
          <w:color w:val="000000"/>
          <w:sz w:val="20"/>
        </w:rPr>
        <w:t>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expense consists of amounts recorded to impair our software and long-lived assets.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provision for income taxes consists primarily of income taxes in the jurisdictions in which we conduct business. Management assesses our deferred tax assets in each reporting period, and if it is determined that it is not more likely than not to be realized, we will record a valuation allowance in that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consolidated statements of operations, as well as the percentage relationship to total revenues for items included in our consolidated statements of operations for the three-month and six-month periods ended June 30, 2024 compared to the three-month and six-month periods ended June 30, 2025 (in thousands):</w:t>
      </w:r>
    </w:p>
    <w:tbl>
      <w:tblPr>
        <w:tblW w:w="8374" w:type="dxa"/>
        <w:jc w:val="left"/>
        <w:tblInd w:w="0" w:type="dxa"/>
        <w:tblLayout w:type="fixed"/>
        <w:tblCellMar>
          <w:top w:w="28" w:type="dxa"/>
          <w:left w:w="28" w:type="dxa"/>
          <w:bottom w:w="28" w:type="dxa"/>
          <w:right w:w="28" w:type="dxa"/>
        </w:tblCellMar>
      </w:tblPr>
      <w:tblGrid>
        <w:gridCol w:w="2796"/>
        <w:gridCol w:w="146"/>
        <w:gridCol w:w="226"/>
        <w:gridCol w:w="794"/>
        <w:gridCol w:w="175"/>
        <w:gridCol w:w="154"/>
        <w:gridCol w:w="222"/>
        <w:gridCol w:w="713"/>
        <w:gridCol w:w="166"/>
        <w:gridCol w:w="146"/>
        <w:gridCol w:w="227"/>
        <w:gridCol w:w="793"/>
        <w:gridCol w:w="166"/>
        <w:gridCol w:w="146"/>
        <w:gridCol w:w="211"/>
        <w:gridCol w:w="736"/>
        <w:gridCol w:w="166"/>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(As Restated)</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(As Restated)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Statements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(14,246</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8682" w:type="dxa"/>
        <w:jc w:val="left"/>
        <w:tblInd w:w="0" w:type="dxa"/>
        <w:tblLayout w:type="fixed"/>
        <w:tblCellMar>
          <w:top w:w="28" w:type="dxa"/>
          <w:left w:w="28" w:type="dxa"/>
          <w:bottom w:w="28" w:type="dxa"/>
          <w:right w:w="28" w:type="dxa"/>
        </w:tblCellMar>
      </w:tblPr>
      <w:tblGrid>
        <w:gridCol w:w="2796"/>
        <w:gridCol w:w="146"/>
        <w:gridCol w:w="207"/>
        <w:gridCol w:w="813"/>
        <w:gridCol w:w="392"/>
        <w:gridCol w:w="173"/>
        <w:gridCol w:w="173"/>
        <w:gridCol w:w="677"/>
        <w:gridCol w:w="331"/>
        <w:gridCol w:w="146"/>
        <w:gridCol w:w="207"/>
        <w:gridCol w:w="813"/>
        <w:gridCol w:w="358"/>
        <w:gridCol w:w="158"/>
        <w:gridCol w:w="158"/>
        <w:gridCol w:w="618"/>
        <w:gridCol w:w="51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Percentage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three-month period ended June 30, 2024 to the three-month period ended June 30, 2025</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Revenues</w:t>
      </w:r>
    </w:p>
    <w:tbl>
      <w:tblPr>
        <w:tblW w:w="7218" w:type="dxa"/>
        <w:jc w:val="left"/>
        <w:tblInd w:w="0" w:type="dxa"/>
        <w:tblLayout w:type="fixed"/>
        <w:tblCellMar>
          <w:top w:w="28" w:type="dxa"/>
          <w:left w:w="28" w:type="dxa"/>
          <w:bottom w:w="28" w:type="dxa"/>
          <w:right w:w="28" w:type="dxa"/>
        </w:tblCellMar>
      </w:tblPr>
      <w:tblGrid>
        <w:gridCol w:w="2266"/>
        <w:gridCol w:w="146"/>
        <w:gridCol w:w="242"/>
        <w:gridCol w:w="778"/>
        <w:gridCol w:w="160"/>
        <w:gridCol w:w="160"/>
        <w:gridCol w:w="231"/>
        <w:gridCol w:w="741"/>
        <w:gridCol w:w="146"/>
        <w:gridCol w:w="146"/>
        <w:gridCol w:w="211"/>
        <w:gridCol w:w="631"/>
        <w:gridCol w:w="166"/>
        <w:gridCol w:w="146"/>
        <w:gridCol w:w="146"/>
        <w:gridCol w:w="526"/>
        <w:gridCol w:w="37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revenues decreased $5.8 million, or 14.3%, from $40.4 million for the three-month period ended June 30, 2024, to $34.6 million for the three-month period ended June 30, 2025, with the largest decrease in our point-to-multi-point and point-to-point product categories, mostly driven by lower demand and impacts from our factory move, partially offset by increased revenues in our enterprise product category.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Subscriptions and services revenues remained flat for the three-month period ended June 30, 2024 to the three-month period ended June 30, 2025. The slight decrease was primarily due to lower services revenue, mostly offset by higher software subscriptions revenue due to increased volume of subscriptions.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Revenues by product category</w:t>
      </w:r>
    </w:p>
    <w:tbl>
      <w:tblPr>
        <w:tblW w:w="8353" w:type="dxa"/>
        <w:jc w:val="left"/>
        <w:tblInd w:w="0" w:type="dxa"/>
        <w:tblLayout w:type="fixed"/>
        <w:tblCellMar>
          <w:top w:w="28" w:type="dxa"/>
          <w:left w:w="28" w:type="dxa"/>
          <w:bottom w:w="28" w:type="dxa"/>
          <w:right w:w="28" w:type="dxa"/>
        </w:tblCellMar>
      </w:tblPr>
      <w:tblGrid>
        <w:gridCol w:w="3201"/>
        <w:gridCol w:w="146"/>
        <w:gridCol w:w="242"/>
        <w:gridCol w:w="778"/>
        <w:gridCol w:w="160"/>
        <w:gridCol w:w="160"/>
        <w:gridCol w:w="231"/>
        <w:gridCol w:w="741"/>
        <w:gridCol w:w="146"/>
        <w:gridCol w:w="146"/>
        <w:gridCol w:w="211"/>
        <w:gridCol w:w="631"/>
        <w:gridCol w:w="166"/>
        <w:gridCol w:w="146"/>
        <w:gridCol w:w="146"/>
        <w:gridCol w:w="526"/>
        <w:gridCol w:w="576"/>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Point-to-Multi-Point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Point-to-Point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Enterprise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 by product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45,233</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Point-to-Multi-Point</w:t>
      </w:r>
    </w:p>
    <w:p>
      <w:pPr>
        <w:pStyle w:val="TextBody"/>
        <w:bidi w:val="0"/>
        <w:jc w:val="left"/>
        <w:rPr>
          <w:rFonts w:ascii="Times New Roman" w:hAnsi="Times New Roman"/>
          <w:color w:val="000000"/>
          <w:sz w:val="20"/>
        </w:rPr>
      </w:pPr>
      <w:r>
        <w:rPr>
          <w:rFonts w:ascii="Times New Roman" w:hAnsi="Times New Roman"/>
          <w:color w:val="000000"/>
          <w:sz w:val="20"/>
        </w:rPr>
        <w:t xml:space="preserve">Our PMP product revenues decreased $7.6 million, or 38.8%, from the three-month period ended June 30, 2024 to 2025. The decrease in point-to-multi-point revenues was driven by lower revenues across all regions, mostly due to lower demand from our service providers for our ePMP products.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Point-to-Point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PTP product revenues decreased $3.4 million, or 23.5%, from the three-month period ended June 30, 2024 to 2025 mostly driven by lower demand for PTP products for defense and PTP products in unlicensed spectrum. </w:t>
      </w:r>
    </w:p>
    <w:p>
      <w:pPr>
        <w:pStyle w:val="TextBody"/>
        <w:bidi w:val="0"/>
        <w:jc w:val="left"/>
        <w:rPr>
          <w:rFonts w:ascii="Times New Roman" w:hAnsi="Times New Roman"/>
          <w:i/>
          <w:color w:val="000000"/>
          <w:sz w:val="20"/>
        </w:rPr>
      </w:pPr>
      <w:r>
        <w:rPr>
          <w:rFonts w:ascii="Times New Roman" w:hAnsi="Times New Roman"/>
          <w:i/>
          <w:color w:val="000000"/>
          <w:sz w:val="20"/>
        </w:rPr>
        <w:t>Enterprise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Enterprise product revenues increased $5.4 million, or 53.9%, from the three-month period ended June 30, 2024 to 2025. Enterprise revenues increased in all regions, with the largest increase in North America, with higher demand for switching products.</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Revenues by geography</w:t>
      </w:r>
    </w:p>
    <w:tbl>
      <w:tblPr>
        <w:tblW w:w="7783" w:type="dxa"/>
        <w:jc w:val="left"/>
        <w:tblInd w:w="0" w:type="dxa"/>
        <w:tblLayout w:type="fixed"/>
        <w:tblCellMar>
          <w:top w:w="28" w:type="dxa"/>
          <w:left w:w="28" w:type="dxa"/>
          <w:bottom w:w="28" w:type="dxa"/>
          <w:right w:w="28" w:type="dxa"/>
        </w:tblCellMar>
      </w:tblPr>
      <w:tblGrid>
        <w:gridCol w:w="2691"/>
        <w:gridCol w:w="146"/>
        <w:gridCol w:w="242"/>
        <w:gridCol w:w="778"/>
        <w:gridCol w:w="160"/>
        <w:gridCol w:w="160"/>
        <w:gridCol w:w="231"/>
        <w:gridCol w:w="741"/>
        <w:gridCol w:w="146"/>
        <w:gridCol w:w="146"/>
        <w:gridCol w:w="211"/>
        <w:gridCol w:w="631"/>
        <w:gridCol w:w="166"/>
        <w:gridCol w:w="146"/>
        <w:gridCol w:w="146"/>
        <w:gridCol w:w="526"/>
        <w:gridCol w:w="516"/>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 by geography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45,233</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Revenues decreased in Europe, Middle East, Africa and Caribbean and Latin America and remained flat in North America and Asia Pacific from the three-month period ended June 30, 2024 to June 30, 2025. North America revenues increased $0.4 million, or 1.8%, driven mostly by higher enterprise product revenues with higher demand for switching products partially offset by lower demand for Wi-Fi 6 products, mostly offset by lower PMP and PTP product revenues across all products in these categories. Europe, Middle East, Africa revenues decreased by $4.3 million, or 27.0%, mostly driven by decreased PMP product revenues due to lower demand for ePMP products, along with lower PTP products driven by lower demand for defense products, partially offset by higher enterprise product revenues due to higher demand for Wi-Fi 6 products. Caribbean and Latin America revenues decreased $1.9 million, or 35.3%, mostly driven by lower PTP and PMP product revenues, partially offset by higher enterprise product revenues. Asia Pacific revenues remained flat, mostly driven by increased enterprise product revenues, mostly offset by lower PMP and PTP revenues due to lower demand.</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Cost of revenues and gross margin</w:t>
      </w:r>
    </w:p>
    <w:tbl>
      <w:tblPr>
        <w:tblW w:w="7596" w:type="dxa"/>
        <w:jc w:val="left"/>
        <w:tblInd w:w="0" w:type="dxa"/>
        <w:tblLayout w:type="fixed"/>
        <w:tblCellMar>
          <w:top w:w="28" w:type="dxa"/>
          <w:left w:w="28" w:type="dxa"/>
          <w:bottom w:w="28" w:type="dxa"/>
          <w:right w:w="28" w:type="dxa"/>
        </w:tblCellMar>
      </w:tblPr>
      <w:tblGrid>
        <w:gridCol w:w="2266"/>
        <w:gridCol w:w="146"/>
        <w:gridCol w:w="242"/>
        <w:gridCol w:w="778"/>
        <w:gridCol w:w="280"/>
        <w:gridCol w:w="150"/>
        <w:gridCol w:w="218"/>
        <w:gridCol w:w="699"/>
        <w:gridCol w:w="271"/>
        <w:gridCol w:w="146"/>
        <w:gridCol w:w="211"/>
        <w:gridCol w:w="631"/>
        <w:gridCol w:w="166"/>
        <w:gridCol w:w="146"/>
        <w:gridCol w:w="189"/>
        <w:gridCol w:w="681"/>
        <w:gridCol w:w="37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28,687</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 bps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 bps</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Cost of revenues for products decreased $7.5 million, or 26.0%, from $28.7 million for the three-month period ended June 30, 2024 to $21.2 million for the three-month period ended June 30, 2025. The decrease in cost of revenues was primarily driven by lower revenues along with a $1.6 million decrease in excess and obsolescence reserve and $6.7 million decrease in loss on supplier commitment expense.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 of revenues for subscriptions and services increased $0.3 million, or 14.4%, from $1.8 million for the three-month period ended June 30, 2024 to $2.1 million for the three-month period ended June 30, 2025. The increase in cost of revenues was primarily due to increased software subscription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Gross margin for products increased from 29.1% for the three-month period ended June 30, 2024 to 38.1% for the three-month period ended June 30, 2025. The increase primarily reflects the impact from the decrease in our excess and obsolescence reserve and loss on supplier commitment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Gross margin for subscriptions and services decreased from 61.7% for the three-month period ended June 30, 2024 to 55.7% for the three-month period ended June 30, 2025. The decrease primarily reflects the impact of change in product mix. </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Operating expenses</w:t>
      </w:r>
    </w:p>
    <w:tbl>
      <w:tblPr>
        <w:tblW w:w="7733" w:type="dxa"/>
        <w:jc w:val="left"/>
        <w:tblInd w:w="0" w:type="dxa"/>
        <w:tblLayout w:type="fixed"/>
        <w:tblCellMar>
          <w:top w:w="28" w:type="dxa"/>
          <w:left w:w="28" w:type="dxa"/>
          <w:bottom w:w="28" w:type="dxa"/>
          <w:right w:w="28" w:type="dxa"/>
        </w:tblCellMar>
      </w:tblPr>
      <w:tblGrid>
        <w:gridCol w:w="2596"/>
        <w:gridCol w:w="146"/>
        <w:gridCol w:w="242"/>
        <w:gridCol w:w="778"/>
        <w:gridCol w:w="160"/>
        <w:gridCol w:w="160"/>
        <w:gridCol w:w="231"/>
        <w:gridCol w:w="741"/>
        <w:gridCol w:w="146"/>
        <w:gridCol w:w="146"/>
        <w:gridCol w:w="211"/>
        <w:gridCol w:w="631"/>
        <w:gridCol w:w="166"/>
        <w:gridCol w:w="146"/>
        <w:gridCol w:w="146"/>
        <w:gridCol w:w="571"/>
        <w:gridCol w:w="5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 decreased $1.7 million, or 19.0% from $9.1 million for the three-month period ended June 30, 2024 to $7.4 million for the three-month period ended June 30, 2025. The decrease in research and development expense was primarily due to $1.1 million lower staff-related costs, mostly due to a reduction in headcount from February 2025 restructuring activities, $0.4 million lower share-based compensation expense, $0.4 million lower outside contractor spend and $0.1 million lower lease-related expenses. These decreases were partially offset by $0.2 million due to lower capitalized software costs and $0.1 million lower UK research and development expenditure credit.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 decreased $1.5 million, or 15.9%, from $9.7 million for the three-month period ended June 30, 2024 to $8.2 million for the three-month period ended June 30, 2025. The decrease in sales and marketing expense was primarily due to $0.9 million lower staff-related costs, mostly due to the reduction in headcount from February 2025 restructuring, $0.5 million lower variable compensation expense, $0.3 million lower share-based compensation expense and $0.2 million other expenses. The decreases in sales and marketing expense were partially offset by $0.2 million higher outside contractor expenses and $0.1 million restructuring cost from the February 2025 restructuring.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 remained flat for the three-month period ended June 30, 2024 to the three-month period ended June 30, 2025. The decrease in general and administrative expense was primarily due to $0.4 million lower staff-related costs due to employee attrition, $0.4 million lower share-based compensation expense, $0.3 million lower bad debt expense, $0.2 million lower other professional fees and $0.1 million lower nonrecurring expense mostly related to the headquarters office move in 2024. The decreases in general and administrative expense were partially offset by $0.8 million higher legal spend, $0.5 million higher contractor spend due to employee attrition and $0.2 million higher audit fees.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Depreciation and amortization expense decreased $1.2 million, or 72.8% from $1.7 million for the three-month period ended June 30, 2024 to $0.5 million for the three-month period ended June 30, 2025. This decrease is mostly driven by lower intangible asset amortization and lower depreciation due to asset impairment in the third quarter of 2024.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Impairment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incurred a $0.2 million impairment charge for the three-month period ended June 30, 2025, with no comparable charge for the three-month period ended June 30, 2024, associated with the impairment of our software marketed for external sale. Refer to Note 5. Software in our consolidated financial statements included in this Quarterly Report on Form 10-Q for details regarding the impairment recorded.</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Interest expense, net</w:t>
      </w:r>
    </w:p>
    <w:tbl>
      <w:tblPr>
        <w:tblW w:w="6391" w:type="dxa"/>
        <w:jc w:val="left"/>
        <w:tblInd w:w="0" w:type="dxa"/>
        <w:tblLayout w:type="fixed"/>
        <w:tblCellMar>
          <w:top w:w="28" w:type="dxa"/>
          <w:left w:w="28" w:type="dxa"/>
          <w:bottom w:w="28" w:type="dxa"/>
          <w:right w:w="28" w:type="dxa"/>
        </w:tblCellMar>
      </w:tblPr>
      <w:tblGrid>
        <w:gridCol w:w="1771"/>
        <w:gridCol w:w="146"/>
        <w:gridCol w:w="275"/>
        <w:gridCol w:w="745"/>
        <w:gridCol w:w="178"/>
        <w:gridCol w:w="178"/>
        <w:gridCol w:w="257"/>
        <w:gridCol w:w="697"/>
        <w:gridCol w:w="146"/>
        <w:gridCol w:w="146"/>
        <w:gridCol w:w="211"/>
        <w:gridCol w:w="421"/>
        <w:gridCol w:w="146"/>
        <w:gridCol w:w="146"/>
        <w:gridCol w:w="146"/>
        <w:gridCol w:w="466"/>
        <w:gridCol w:w="31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Interest expense increased $0.9 million, or 67.3%, from $1.4 million for the three-month period ended June 30, 2024 to $2.3 million for the three-month period ended June 30, 2025. The increase was primarily due to an increase in the interest rate on the term loan and the addition of interest on the revolving credit facility and the 2% penalty assessed on both the term loan and revolving credit facility starting in the fourth quarter of 2024 as a result of the event of default.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Other expense, net</w:t>
      </w:r>
    </w:p>
    <w:tbl>
      <w:tblPr>
        <w:tblW w:w="6890" w:type="dxa"/>
        <w:jc w:val="left"/>
        <w:tblInd w:w="0" w:type="dxa"/>
        <w:tblLayout w:type="fixed"/>
        <w:tblCellMar>
          <w:top w:w="28" w:type="dxa"/>
          <w:left w:w="28" w:type="dxa"/>
          <w:bottom w:w="28" w:type="dxa"/>
          <w:right w:w="28" w:type="dxa"/>
        </w:tblCellMar>
      </w:tblPr>
      <w:tblGrid>
        <w:gridCol w:w="1681"/>
        <w:gridCol w:w="146"/>
        <w:gridCol w:w="510"/>
        <w:gridCol w:w="510"/>
        <w:gridCol w:w="254"/>
        <w:gridCol w:w="254"/>
        <w:gridCol w:w="367"/>
        <w:gridCol w:w="654"/>
        <w:gridCol w:w="166"/>
        <w:gridCol w:w="146"/>
        <w:gridCol w:w="211"/>
        <w:gridCol w:w="376"/>
        <w:gridCol w:w="166"/>
        <w:gridCol w:w="146"/>
        <w:gridCol w:w="146"/>
        <w:gridCol w:w="781"/>
        <w:gridCol w:w="37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Other expense, net for the three-month period ended June 30, 2024 remained flat compared to the three-month period ended June 30, 2025.</w:t>
      </w:r>
    </w:p>
    <w:p>
      <w:pPr>
        <w:pStyle w:val="TextBody"/>
        <w:bidi w:val="0"/>
        <w:spacing w:before="0" w:after="24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7417" w:type="dxa"/>
        <w:jc w:val="left"/>
        <w:tblInd w:w="0" w:type="dxa"/>
        <w:tblLayout w:type="fixed"/>
        <w:tblCellMar>
          <w:top w:w="28" w:type="dxa"/>
          <w:left w:w="28" w:type="dxa"/>
          <w:bottom w:w="28" w:type="dxa"/>
          <w:right w:w="28" w:type="dxa"/>
        </w:tblCellMar>
      </w:tblPr>
      <w:tblGrid>
        <w:gridCol w:w="2281"/>
        <w:gridCol w:w="146"/>
        <w:gridCol w:w="340"/>
        <w:gridCol w:w="680"/>
        <w:gridCol w:w="430"/>
        <w:gridCol w:w="190"/>
        <w:gridCol w:w="274"/>
        <w:gridCol w:w="547"/>
        <w:gridCol w:w="331"/>
        <w:gridCol w:w="146"/>
        <w:gridCol w:w="211"/>
        <w:gridCol w:w="481"/>
        <w:gridCol w:w="166"/>
        <w:gridCol w:w="146"/>
        <w:gridCol w:w="146"/>
        <w:gridCol w:w="526"/>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Due to forecasting uncertainty for 2024 and 2025, our provision for income taxes at June 30, 2024 and June 30, 2025 are based on 3-month year-to-date actual results. Our provision for income taxes was $0.6 million for the three-month period ended June 30, 2024 versus a provision for income taxes of $0.3 million for the three-month period ended June 30, 2025. The effective income tax rates were (4.1)% and (2.9)% over the same periods, respectively. For the three-month period ended June 30, 2024, the effective tax rate of (4.1)% was different from the statutory rate of 21.0% primarily due to an increase in the valuation allowance on the net deferred tax assets of the UK company. For the three-month period ended June 30, 2025, our effective tax rate of (2.9)% was different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from the statutory rate of 21.0%, primarily due to an increase in the valuation allowance on the net deferred tax assets of the Company, maintaining a full valuation allowance on the net deferred tax assets.</w:t>
      </w:r>
    </w:p>
    <w:p>
      <w:pPr>
        <w:pStyle w:val="TextBody"/>
        <w:bidi w:val="0"/>
        <w:spacing w:before="0" w:after="360"/>
        <w:jc w:val="left"/>
        <w:rPr>
          <w:rFonts w:ascii="Times New Roman" w:hAnsi="Times New Roman"/>
          <w:b/>
          <w:color w:val="000000"/>
          <w:sz w:val="20"/>
        </w:rPr>
      </w:pPr>
      <w:r>
        <w:rPr>
          <w:rFonts w:ascii="Times New Roman" w:hAnsi="Times New Roman"/>
          <w:b/>
          <w:color w:val="000000"/>
          <w:sz w:val="20"/>
        </w:rPr>
        <w:t>Comparison of six-month period ended June 30, 2024 to the six-month period ended June 30, 2025</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Revenues</w:t>
      </w:r>
    </w:p>
    <w:tbl>
      <w:tblPr>
        <w:tblW w:w="7211" w:type="dxa"/>
        <w:jc w:val="left"/>
        <w:tblInd w:w="0" w:type="dxa"/>
        <w:tblLayout w:type="fixed"/>
        <w:tblCellMar>
          <w:top w:w="28" w:type="dxa"/>
          <w:left w:w="28" w:type="dxa"/>
          <w:bottom w:w="28" w:type="dxa"/>
          <w:right w:w="28" w:type="dxa"/>
        </w:tblCellMar>
      </w:tblPr>
      <w:tblGrid>
        <w:gridCol w:w="2266"/>
        <w:gridCol w:w="146"/>
        <w:gridCol w:w="242"/>
        <w:gridCol w:w="778"/>
        <w:gridCol w:w="146"/>
        <w:gridCol w:w="146"/>
        <w:gridCol w:w="211"/>
        <w:gridCol w:w="677"/>
        <w:gridCol w:w="146"/>
        <w:gridCol w:w="146"/>
        <w:gridCol w:w="211"/>
        <w:gridCol w:w="736"/>
        <w:gridCol w:w="166"/>
        <w:gridCol w:w="146"/>
        <w:gridCol w:w="146"/>
        <w:gridCol w:w="526"/>
        <w:gridCol w:w="37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revenues decreased $18.8 million, or 22.8%, from $82.6 million for the six-month period ended June 30, 2024, to $63.8 million for the six-month period ended June 30, 2025, with the largest decrease in our point-to-multi-point and point-to-point product categories, mostly driven by lower demand, offset by increase in our enterprise product category.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Subscriptions and services revenues decreased $0.3 million, or 3.3% from $9.7 million for the six-month period ended June 30, 2024 to $9.4 million for the six-month period ended June 30, 2025. The decrease was primarily due to $0.8 million lower services revenue partially offset by $0.5 million higher software subscriptions revenue due to increased volume of subscriptions.</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Revenues by product category</w:t>
      </w:r>
    </w:p>
    <w:tbl>
      <w:tblPr>
        <w:tblW w:w="8346" w:type="dxa"/>
        <w:jc w:val="left"/>
        <w:tblInd w:w="0" w:type="dxa"/>
        <w:tblLayout w:type="fixed"/>
        <w:tblCellMar>
          <w:top w:w="28" w:type="dxa"/>
          <w:left w:w="28" w:type="dxa"/>
          <w:bottom w:w="28" w:type="dxa"/>
          <w:right w:w="28" w:type="dxa"/>
        </w:tblCellMar>
      </w:tblPr>
      <w:tblGrid>
        <w:gridCol w:w="3201"/>
        <w:gridCol w:w="146"/>
        <w:gridCol w:w="242"/>
        <w:gridCol w:w="778"/>
        <w:gridCol w:w="146"/>
        <w:gridCol w:w="146"/>
        <w:gridCol w:w="211"/>
        <w:gridCol w:w="677"/>
        <w:gridCol w:w="146"/>
        <w:gridCol w:w="146"/>
        <w:gridCol w:w="211"/>
        <w:gridCol w:w="736"/>
        <w:gridCol w:w="166"/>
        <w:gridCol w:w="146"/>
        <w:gridCol w:w="146"/>
        <w:gridCol w:w="526"/>
        <w:gridCol w:w="576"/>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Point-to-Multi-Point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Point-to-Point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Enterprise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 by product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Point-to-Multi-Point</w:t>
      </w:r>
    </w:p>
    <w:p>
      <w:pPr>
        <w:pStyle w:val="TextBody"/>
        <w:bidi w:val="0"/>
        <w:jc w:val="left"/>
        <w:rPr>
          <w:rFonts w:ascii="Times New Roman" w:hAnsi="Times New Roman"/>
          <w:color w:val="000000"/>
          <w:sz w:val="20"/>
        </w:rPr>
      </w:pPr>
      <w:r>
        <w:rPr>
          <w:rFonts w:ascii="Times New Roman" w:hAnsi="Times New Roman"/>
          <w:color w:val="000000"/>
          <w:sz w:val="20"/>
        </w:rPr>
        <w:t xml:space="preserve">Our PMP product revenues decreased $13.2 million, or 34.5%, from the six-month period ended June 30, 2024 to 2025. The decrease in point-to-multi-point revenues was driven by lower revenues in all regions, mostly due to lower demand from our service providers for our 60 GHz, 28 GHz and ePMP products.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Point-to-Point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PTP product revenues decreased $8.7 million, or 31.0%, from the six-month period ended June 30, 2024 to 2025 in all regions, mostly driven by lower demand across all PTP products. </w:t>
      </w:r>
    </w:p>
    <w:p>
      <w:pPr>
        <w:pStyle w:val="TextBody"/>
        <w:bidi w:val="0"/>
        <w:jc w:val="left"/>
        <w:rPr>
          <w:rFonts w:ascii="Times New Roman" w:hAnsi="Times New Roman"/>
          <w:i/>
          <w:color w:val="000000"/>
          <w:sz w:val="20"/>
        </w:rPr>
      </w:pPr>
      <w:r>
        <w:rPr>
          <w:rFonts w:ascii="Times New Roman" w:hAnsi="Times New Roman"/>
          <w:i/>
          <w:color w:val="000000"/>
          <w:sz w:val="20"/>
        </w:rPr>
        <w:t>Enterprise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Enterprise product revenues increased $3.6 million, or 15.5%, from the six-month period ended June 30, 2024 to 2025. Enterprise revenues increased in all regions except Europe, Middle East, Africa, with the largest increase in North America, with higher demand for switching products partially offset by lower demand for Wi-Fi 6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Revenues by geography</w:t>
      </w:r>
    </w:p>
    <w:tbl>
      <w:tblPr>
        <w:tblW w:w="7836" w:type="dxa"/>
        <w:jc w:val="left"/>
        <w:tblInd w:w="0" w:type="dxa"/>
        <w:tblLayout w:type="fixed"/>
        <w:tblCellMar>
          <w:top w:w="28" w:type="dxa"/>
          <w:left w:w="28" w:type="dxa"/>
          <w:bottom w:w="28" w:type="dxa"/>
          <w:right w:w="28" w:type="dxa"/>
        </w:tblCellMar>
      </w:tblPr>
      <w:tblGrid>
        <w:gridCol w:w="2691"/>
        <w:gridCol w:w="146"/>
        <w:gridCol w:w="242"/>
        <w:gridCol w:w="778"/>
        <w:gridCol w:w="146"/>
        <w:gridCol w:w="146"/>
        <w:gridCol w:w="211"/>
        <w:gridCol w:w="677"/>
        <w:gridCol w:w="146"/>
        <w:gridCol w:w="146"/>
        <w:gridCol w:w="211"/>
        <w:gridCol w:w="736"/>
        <w:gridCol w:w="166"/>
        <w:gridCol w:w="146"/>
        <w:gridCol w:w="146"/>
        <w:gridCol w:w="526"/>
        <w:gridCol w:w="576"/>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 by geography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Revenues decreased in all regions from the six-month period ended June 30, 2024 to June 30, 2025. North America revenues decreased $6.4 million, or 14.4%. The decrease in revenues in North America was driven mostly by decreased PTP revenues primarily due to lower demand for PTP accessories and defense, decreased PMP product revenues primarily due to lower demand for 60 GHz, products, partially offset by higher enterprise product revenues driven by improved demand for switching products partially offset by lower demand for Wi-Fi 6 products. Europe, Middle East, Africa revenues decreased by $5.8 million, or 20.4%, mostly driven by decreased enterprise product revenues due to lower demand for Wi-Fi 6 and switching products, decreased PMP product revenues due to lower demand for 28 GHz and ePMP products and lower PTP revenues driven by lower demand from defense. Caribbean and Latin America revenues decreased $5.2 million, or 51.5%, mostly driven by lower PTP and PMP product revenues partially offset by increased enterprise revenues. Asia Pacific revenues decreased $1.8 million, or 19.4%, mostly driven by decreased PMP and PTP revenues due to lower demand, partially offset by increased enterprise revenues, mostly for Wi-Fi 6 products.</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Cost of revenues and gross margin</w:t>
      </w:r>
    </w:p>
    <w:tbl>
      <w:tblPr>
        <w:tblW w:w="7658" w:type="dxa"/>
        <w:jc w:val="left"/>
        <w:tblInd w:w="0" w:type="dxa"/>
        <w:tblLayout w:type="fixed"/>
        <w:tblCellMar>
          <w:top w:w="28" w:type="dxa"/>
          <w:left w:w="28" w:type="dxa"/>
          <w:bottom w:w="28" w:type="dxa"/>
          <w:right w:w="28" w:type="dxa"/>
        </w:tblCellMar>
      </w:tblPr>
      <w:tblGrid>
        <w:gridCol w:w="2266"/>
        <w:gridCol w:w="146"/>
        <w:gridCol w:w="242"/>
        <w:gridCol w:w="778"/>
        <w:gridCol w:w="271"/>
        <w:gridCol w:w="146"/>
        <w:gridCol w:w="211"/>
        <w:gridCol w:w="676"/>
        <w:gridCol w:w="271"/>
        <w:gridCol w:w="146"/>
        <w:gridCol w:w="211"/>
        <w:gridCol w:w="736"/>
        <w:gridCol w:w="166"/>
        <w:gridCol w:w="146"/>
        <w:gridCol w:w="188"/>
        <w:gridCol w:w="682"/>
        <w:gridCol w:w="37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 bps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 bps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Cost of revenues for products decreased $21.4 million, or 36.0%, from $59.5 million for the six-month period ended June 30, 2024 to $38.1 million for the six-month period ended June 30, 2025. The decrease in cost of revenues was primarily driven by lower revenues along with a $8.2 million decrease in excess and obsolescence reserve and $10.3 million decrease in loss on supplier commitment expense and $0.9 million of nonrecurring expenses incurred in 2025 related to moving certain manufacturing from Mexico to Thailand.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 of revenues for subscriptions and services increased $0.3 million, or 6.9%, from $4.0 million for the six-month period ended June 30, 2024 to $4.3 million for the six-month period ended June 30, 2025. The increase in cost of revenues was primarily due to increased volume of software subscriptions.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Gross margin for products increased from 27.9% for the six-month period ended June 30, 2024 to 40.2% for the six-month period ended June 30, 2025. The increase primarily reflects the impact from the decrease in our excess and obsolescence reserve and loss on supplier commitment expense partially offset by the impact of nonrecurring expense incurred in 2025 related to moving certain manufacturing from Mexico to Thailand.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Gross margin for subscriptions and services decreased from 58.3% for the six-month period ended June 30, 2024 to 53.8% for the six-month period ended June 30, 2025. The decrease primarily reflects the change in product mix.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Operating expenses</w:t>
      </w:r>
    </w:p>
    <w:tbl>
      <w:tblPr>
        <w:tblW w:w="7621" w:type="dxa"/>
        <w:jc w:val="left"/>
        <w:tblInd w:w="0" w:type="dxa"/>
        <w:tblLayout w:type="fixed"/>
        <w:tblCellMar>
          <w:top w:w="28" w:type="dxa"/>
          <w:left w:w="28" w:type="dxa"/>
          <w:bottom w:w="28" w:type="dxa"/>
          <w:right w:w="28" w:type="dxa"/>
        </w:tblCellMar>
      </w:tblPr>
      <w:tblGrid>
        <w:gridCol w:w="2596"/>
        <w:gridCol w:w="146"/>
        <w:gridCol w:w="242"/>
        <w:gridCol w:w="778"/>
        <w:gridCol w:w="146"/>
        <w:gridCol w:w="146"/>
        <w:gridCol w:w="211"/>
        <w:gridCol w:w="677"/>
        <w:gridCol w:w="146"/>
        <w:gridCol w:w="146"/>
        <w:gridCol w:w="211"/>
        <w:gridCol w:w="631"/>
        <w:gridCol w:w="166"/>
        <w:gridCol w:w="146"/>
        <w:gridCol w:w="146"/>
        <w:gridCol w:w="571"/>
        <w:gridCol w:w="5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 decreased $3.2 million, or 15.9% from $20.0 million for the six-month period ended June 30, 2024 to $16.8 million for the six-month period ended June 30, 2025. The decrease in research and development expense was primarily due to $1.7 million lower staff-related costs, mostly due to reductions in headcount from February 2025 restructuring activities, $0.6 million lower outside contractor spend, $0.4 million lower share-based compensation expense, $0.3 million lower lease related expenses, $0.2 million lower homologation and regulatory spend due to the timing and number of projects and $0.2 million lower engineering material costs. The decreases in research and development expense were partially offset by $0.3 million of restructuring cost incurred in 2025 for the February restructuring.</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 decreased $2.8 million, or 14.7%, from $19.4 million for the six-month period ended June 30, 2024 to $16.6 million for the six-month period ended June 30, 2025. The decrease in sales and marketing expense was primarily due to $1.8 million lower staff-related costs, mostly due to reductions in headcount from February 2025 restructuring, $1.0 million lower variable compensation expense, $0.4 million lower share-based compensation expense, $0.2 million lower travel related expense, $0.1 million lower lease related expense and $0.1 million lower homologation/regulatory expense. The decreases in sales and marketing expense were partially offset by $0.7 million higher restructuring cost from the February 2025 restructuring.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 decreased $1.2 million, or 8.4%, from $13.9 million for the six-month period ended June 30, 2024 to $12.7 million for the six-month period ended June 30, 2025. The decrease in general and administrative expense was primarily due to $1.0 million lower staff-related costs due to employee attrition, $0.4 million of CFO turnover expense incurred in 2024, $0.7 million lower share-based compensation expense, $0.7 million lower bad debt expense, $0.3 million lower other professional fees, $0.2 million lower other expenses, $0.1 million lower nonrecurring expense related to the headquarters office move in the first quarter of 2024 and $0.1 million lower insurance expense. The decrease in general and administrative expenses was partially offset by $0.9 million higher legal fees, $0.8 million higher audit and tax expenses and $0.7 million higher outside contractor spend due to employee attrition.</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Depreciation and amortization expense decreased $2.7 million, or 82.1% from $3.3 million for the six-month period ended June 30, 2024 to $0.6 million for the six-month period ended June 30, 2025. This decrease is mostly driven by million lower intangible asset amortization and lower depreciation due to asset impairments in the third quarter of 2024.</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Impairment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incurred a $0.2 million impairment charge for the six-month period ended June 30, 2025, with no comparable charge over the same time period in 2024, associated with the impairment of our property and equipment and software marketed for external sale. Refer to Note 5. Software in our consolidated financial statements included in this Quarterly Report on Form 10-Q for details regarding the impairment recorded.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Interest expense, net</w:t>
      </w:r>
    </w:p>
    <w:tbl>
      <w:tblPr>
        <w:tblW w:w="6427" w:type="dxa"/>
        <w:jc w:val="left"/>
        <w:tblInd w:w="0" w:type="dxa"/>
        <w:tblLayout w:type="fixed"/>
        <w:tblCellMar>
          <w:top w:w="28" w:type="dxa"/>
          <w:left w:w="28" w:type="dxa"/>
          <w:bottom w:w="28" w:type="dxa"/>
          <w:right w:w="28" w:type="dxa"/>
        </w:tblCellMar>
      </w:tblPr>
      <w:tblGrid>
        <w:gridCol w:w="1771"/>
        <w:gridCol w:w="146"/>
        <w:gridCol w:w="275"/>
        <w:gridCol w:w="745"/>
        <w:gridCol w:w="162"/>
        <w:gridCol w:w="162"/>
        <w:gridCol w:w="235"/>
        <w:gridCol w:w="637"/>
        <w:gridCol w:w="146"/>
        <w:gridCol w:w="146"/>
        <w:gridCol w:w="211"/>
        <w:gridCol w:w="571"/>
        <w:gridCol w:w="146"/>
        <w:gridCol w:w="146"/>
        <w:gridCol w:w="146"/>
        <w:gridCol w:w="466"/>
        <w:gridCol w:w="31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Interest expense increased $2.0 million, or 89.2%, from $2.3 million for the six-month period ended June 30, 2024 to $4.3 million for the six-month period ended June 30, 2025. The increase was primarily due to an increase in the interest rate on the term loan, the addition of interest on the revolving credit facility and the addition of the 2% penalty on both the term loan and revolving credit facility as a result of the event of default.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Other expense, net</w:t>
      </w:r>
    </w:p>
    <w:tbl>
      <w:tblPr>
        <w:tblW w:w="6344" w:type="dxa"/>
        <w:jc w:val="left"/>
        <w:tblInd w:w="0" w:type="dxa"/>
        <w:tblLayout w:type="fixed"/>
        <w:tblCellMar>
          <w:top w:w="28" w:type="dxa"/>
          <w:left w:w="28" w:type="dxa"/>
          <w:bottom w:w="28" w:type="dxa"/>
          <w:right w:w="28" w:type="dxa"/>
        </w:tblCellMar>
      </w:tblPr>
      <w:tblGrid>
        <w:gridCol w:w="1681"/>
        <w:gridCol w:w="146"/>
        <w:gridCol w:w="408"/>
        <w:gridCol w:w="612"/>
        <w:gridCol w:w="224"/>
        <w:gridCol w:w="224"/>
        <w:gridCol w:w="324"/>
        <w:gridCol w:w="486"/>
        <w:gridCol w:w="146"/>
        <w:gridCol w:w="146"/>
        <w:gridCol w:w="211"/>
        <w:gridCol w:w="376"/>
        <w:gridCol w:w="166"/>
        <w:gridCol w:w="146"/>
        <w:gridCol w:w="146"/>
        <w:gridCol w:w="526"/>
        <w:gridCol w:w="37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Other expense, net expense for the six-month period ended June 30, 2024 remained flat compared to the six-month period ended June 30, 2025.</w:t>
      </w:r>
    </w:p>
    <w:p>
      <w:pPr>
        <w:pStyle w:val="TextBody"/>
        <w:bidi w:val="0"/>
        <w:spacing w:before="0" w:after="24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7339" w:type="dxa"/>
        <w:jc w:val="left"/>
        <w:tblInd w:w="0" w:type="dxa"/>
        <w:tblLayout w:type="fixed"/>
        <w:tblCellMar>
          <w:top w:w="28" w:type="dxa"/>
          <w:left w:w="28" w:type="dxa"/>
          <w:bottom w:w="28" w:type="dxa"/>
          <w:right w:w="28" w:type="dxa"/>
        </w:tblCellMar>
      </w:tblPr>
      <w:tblGrid>
        <w:gridCol w:w="2281"/>
        <w:gridCol w:w="146"/>
        <w:gridCol w:w="275"/>
        <w:gridCol w:w="745"/>
        <w:gridCol w:w="362"/>
        <w:gridCol w:w="159"/>
        <w:gridCol w:w="231"/>
        <w:gridCol w:w="461"/>
        <w:gridCol w:w="331"/>
        <w:gridCol w:w="146"/>
        <w:gridCol w:w="211"/>
        <w:gridCol w:w="631"/>
        <w:gridCol w:w="166"/>
        <w:gridCol w:w="146"/>
        <w:gridCol w:w="146"/>
        <w:gridCol w:w="526"/>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360"/>
        <w:jc w:val="left"/>
        <w:rPr>
          <w:rFonts w:ascii="Times New Roman" w:hAnsi="Times New Roman"/>
          <w:color w:val="000000"/>
          <w:sz w:val="20"/>
        </w:rPr>
      </w:pPr>
      <w:r>
        <w:rPr>
          <w:rFonts w:ascii="Times New Roman" w:hAnsi="Times New Roman"/>
          <w:color w:val="000000"/>
          <w:sz w:val="20"/>
        </w:rPr>
        <w:t>Due to forecasting uncertainty for 2024 and 2025, our provision for income taxes at June 30, 2024 and June 30, 2025 are based on 6-month year-to-date actual results. Our provision for income taxes was $2.5 million for the three-month period ended June 30, 2024 versus a provision for income taxes of $0.6 million for the three-month period ended June 30, 2025. The effective income tax rates were (8.2)% and (3.1)% over the same periods, respectively. In the three-month period ended June 30, 2024, the effective tax rate of (8.2)% was different from the statutory rate of 21.0% primarily due to the establishment of a deferred tax liability on hypothetical withholding tax on non-permanent investment in subsidiaries. For the three-month period ended June 30, 2025, our effective tax rate of (3.1)% was different from the statutory rate of 21.0%, primarily due to an increase in the valuation allowance on the net deferred tax assets of the Company, maintaining a full valuation allowance on the net deferred tax assets.</w:t>
      </w:r>
    </w:p>
    <w:p>
      <w:pPr>
        <w:pStyle w:val="TextBody"/>
        <w:bidi w:val="0"/>
        <w:spacing w:before="0" w:after="24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2025, we had a cash balance of $27.8 million, a decrease of $7.1 million from December 31, 2024. Our primary liquidity needs are: (i) to fund normal operating expenses; (ii) to meet interest and principal requirements of our outstanding indebtedness; and (iii) to fund capital expenditures. Our future capital requirements may vary materially from those currently planned and will depend on many factors, including our rate of revenue growth, the timing and extent of spending to support development efforts, the timing of new product introductions, market acceptance of our products and overall economic conditions. We continue to focus on cost management, operating efficiency and efficient discretionary spending. We expect to regularly assess our liquidity needs and market conditions and may raise additional equity or seek additional capital through possible divestitures if and when our board of directors determines that doing so is in our best interest.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2025, we were not in compliance with our quarterly fixed charge coverage ratio and quarterly consolidated leverage ratio covenants, and these defaults continued throughout 2025. In addition, in June 2025, we ceased paying principal and interest on the term loan and interest on the revolving credit facility. Such defaults afford Bank of America the right to declare the amounts outstanding thereunder immediately due and payable. We continue to work with the bank to address our noncompliance with the covenants, but have not been able to obtain a waiver of the defaults, or otherwise refinance such indebtedness. If we are not able to obtain a waiver of the defaults or otherwise refinance such indebtedness, and if the lender were to accelerate the maturity of our indebtedness under the Amended Credit Agreement, there is substantial uncertainty we would be able to secure capital resources to repay the amounts due. Please refer to Note 7. Debt in the Notes to the Unaudited Consolidated Financial Statements, regarding our debt outstanding under our credit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summarized cash flow data for the periods indicated (in thousands):</w:t>
      </w:r>
    </w:p>
    <w:tbl>
      <w:tblPr>
        <w:tblW w:w="6567" w:type="dxa"/>
        <w:jc w:val="left"/>
        <w:tblInd w:w="0" w:type="dxa"/>
        <w:tblLayout w:type="fixed"/>
        <w:tblCellMar>
          <w:top w:w="28" w:type="dxa"/>
          <w:left w:w="28" w:type="dxa"/>
          <w:bottom w:w="28" w:type="dxa"/>
          <w:right w:w="28" w:type="dxa"/>
        </w:tblCellMar>
      </w:tblPr>
      <w:tblGrid>
        <w:gridCol w:w="3931"/>
        <w:gridCol w:w="146"/>
        <w:gridCol w:w="227"/>
        <w:gridCol w:w="793"/>
        <w:gridCol w:w="166"/>
        <w:gridCol w:w="146"/>
        <w:gridCol w:w="211"/>
        <w:gridCol w:w="736"/>
        <w:gridCol w:w="21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Restated)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Net cash used in operating activities for the six-month period ended June 30, 2024 of $13.5 million consisted of net loss of $32.7 million, adjustments for non-cash charges for depreciation and amortization and other non-cash impacts of $5.4 million, share-based compensation expense of $5.1 million, inventory excess and obsolescence expense of $6.5 million, estimate of credit losses of $0.9 million, and adjustments for an increase in deferred tax assets of $1.5 million, along with changes in operating assets and liabilities that resulted in net cash outflows of $0.3 million. The changes in operating assets and liabilities consisted primarily of a $8.4 million lower inventory as channel inventories are starting to decrease, $4.2 million lower accounts receivable due to lower sales mostly offset by $4.4 million higher income taxes receivable, $3.0 million lower accounts payable due to decreased purchases and timing of payments, $2.4 million lower other assets and liabilities, mostly due to adjustments for loss on supplier commitments and lower accrual for sales returns, $1.5 million higher prepaid assets due to additional supplier prepayments, $1.0 million lower accrued liabilities due to lower customer rebates and $0.5 million lower accrued employee compensation.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Net cash used in operating activities for the six-month period ended June 30, 2025 of $14.1 million consisted primarily of net loss of $21.1 million, adjustments for non-cash charges for depreciation and amortization and other non-cash impacts of $2.3 million, share-based compensation expense of $3.5 million and impairment charge of $0.2 million, offset by a reduction in inventory excess and obsolescence of $1.7 million and reduction in provision for estimated credit losses of $0.1 million, along with changes in operating assets and liabilities that resulted in net cash inflow of $2.8 million. The changes in operating assets and liabilities consisted primarily of $3.3 million reduction in receivables, $9.7 million reduction in inventories, $2.7 million reduction in prepaid expenses and $2.0 million reduction in accrued liabilities mostly due to lower revenues and $0.3 million lower accrued employee compensation, partially offset by $4.8 million decrease in accounts payable, $10.9 million lower other assets and liabilities due to an increase in noncurrent supplier prepayments and decrease in noncurrent loss on supplier commitments.</w:t>
      </w:r>
    </w:p>
    <w:p>
      <w:pPr>
        <w:pStyle w:val="TextBody"/>
        <w:bidi w:val="0"/>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investing activities for both periods presented consisted of capital expenditures for property, equipment, internal use software and capitalized labor costs for software to be marketed for sale in support of the growth of our business.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six-month period ended June 30, 2024, net cash provided by financing activities of $44.3 million was primarily due to $45.0 million drawn down on the revolver and proceeds received of $0.7 million from the issuance of ordinary shares under our ESPP partially offset by $1.3 million repayment of principal due under the term loan facility with Bank of America.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six-month period ended June 30, 2025, net cash used by financing activities of $1.3 million was primarily due to repayment of principal due under our term loan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120"/>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2025, we had $21.5 million outstanding on our term loan facility and $45.0 million outstanding on our revolving credit facility with Bank of America. The effective interest rate on the term loan facility at June 30, 2025 was 10.24% and the weighted-average interest rate on our revolving credit facility was 9.13%. We are required to make quarterly principal payments of $0.7 million under the term credit facility and quarterly interest payments under both the term loan facility and the revolving credit facility. For the first quarter of 2025, all quarterly principal and interest payments have been made in accordance with the terms of the credit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2025, we were not in compliance with our quarterly fixed charge coverage ratio and quarterly consolidated leverage ratio covenants, and these defaults continued throughout all of 2025. In addition, in June 2025, we ceased paying the principal and interest on the term loan and interest on the revolving credit facility, resulting in a payment default which is also continuing. Such defaults afford the lender the right to declare the amounts outstanding under our credit agreement immediately due and payable. To provide us with the financing flexibility needed to meet our obligations as they come due over the next twelve months, we are actively seeking additional capital through possible divestitures and/or capital raising transactions and working with the lender to address our covenant non-compliance. If the lender were to accelerate the maturity of our indebtedness under the credit agreement, there is substantial uncertainty that we would be able to secure capital resources to repay the amounts due. Absent acceleration of payment, our term facility and revolving credit facility matures on November 17, 2026, at which time the outstanding principal and interest will be due. Refer to Note 7. Debt, to our unaudited consolidated financial statements in Part I of this Form 10-Q for additional information.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do not engage in transactions that generate relationships with unconsolidated entities or financial partnerships, such as entities often referred to as variable interest entities, structured finance, or special purpose entities, as part of our ongoing business. Accordingly, our operating results, financial condition and cash flows are not subject to off-balance sheet risks.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Our consolidated financial statements and the related notes thereto are prepared in accordance with U.S. GAAP. </w:t>
      </w:r>
      <w:r>
        <w:rPr>
          <w:rFonts w:ascii="Times New Roman" w:hAnsi="Times New Roman"/>
          <w:color w:val="231F20"/>
          <w:sz w:val="20"/>
        </w:rPr>
        <w:t xml:space="preserve">The preparation of these financial statements requires our management to make estimates and assumptions that affect the reported amounts of assets, liabilities, revenues, costs and expense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Please refer to Management’s Discussion and Analysis of Financial Condition and Results of Operations contained in Part II, Item 7 of our Comprehensive Form 10-K for our fiscal year ended December 31, 2024, filed on April 7, 2026, for a more complete discussion of our critical accounting policies and estimates. Since the filing of our Comprehensive Form 10-K, there have been no material changes in our significant accounting estimates from those disclosed therein.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4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Excluding the impact of changes in interest rates and the uncertainty in the global financial markets, there have been no material changes to our market risk for the three-month period ended June 30, 2025. 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We have not entered into any foreign currency hedging transactions. We do not purchase or hold any derivative financial instruments for speculation or arbitrage.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hold any cash in any investment accounts and all cash is deposited with financial institutions that management believes are of high credit quality. Our cash consists primarily of U.S. dollar denominated demand accounts.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had $21.5 million outstanding on our term loan facility and $45.0 million outstanding on our revolving credit facility as of June 30, 2025. We are exposed to interest rate risk from fluctuations in the Prime Rate that is a component of the interest rate used to calculate interest expense on both the term and revolving credit facilities. Interest accrues on the outstanding principal amount of the term loan facility and revolving credit facility at a rate equal to the Prime Rate plus an applicable margin of 2.25%. At June 30, 2025, the effective interest rate on the term loan was 10.24%. A hypothetical 100-basis point increase in interest rates would result in an additional $0.2 million in interest expense related to the term credit facility per year. At June 30, 2025, the weighted-average interest rate on the revolving credit facility was 9.13%. A hypothetical 100-basis point increase in interest rates would result in an additional $0.5 million in interest expense related to the revolving credit facility per year. These rates do not include an additional 2% default rate penalty that was added on both the term loan and revolving credit facilities as a result of the events of default that first occurred during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have been no other material changes in our market risk since December 31, 2024. </w:t>
      </w:r>
    </w:p>
    <w:p>
      <w:pPr>
        <w:pStyle w:val="TextBody"/>
        <w:bidi w:val="0"/>
        <w:spacing w:before="120" w:after="240"/>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interim principal financial officer, has evaluated the effectiveness of the design and operation of our disclosure controls and procedures (as defined in Rules 13a-15(e) and 15d-15(e) under the Securities and Exchange Act of 1934, as amended, or the Exchange Act), as of June 30, 2025, the end of the period covered by this Quarterly Report on Form 10-Q. Based on such evaluation, our principal executive officer and interim principal financial officer have concluded that, as of such date, our disclosure controls and procedures were not effective because of material weaknesses in our internal control over financial reporting, previously reported in Part II, Item 9A of our Comprehensive 10-K for the year ended December 31, 2024. </w:t>
      </w:r>
    </w:p>
    <w:p>
      <w:pPr>
        <w:pStyle w:val="TextBody"/>
        <w:bidi w:val="0"/>
        <w:spacing w:before="0" w:after="120"/>
        <w:jc w:val="left"/>
        <w:rPr>
          <w:rFonts w:ascii="Times New Roman" w:hAnsi="Times New Roman"/>
          <w:sz w:val="20"/>
        </w:rPr>
      </w:pPr>
      <w:r>
        <w:rPr>
          <w:rFonts w:ascii="Times New Roman" w:hAnsi="Times New Roman"/>
          <w:b/>
          <w:color w:val="000000"/>
          <w:sz w:val="20"/>
        </w:rPr>
        <w:t>Material Weaknesses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our financial statements will not be prevented or detected on a timely basis.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disclosed in Item 9A of our Comprehensive Form 10-K for the year ended December 31, 2024, management identified the following material weaknesses in internal controls over financial reporting during the year ended December 31, 2024: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pPr>
      <w:r>
        <w:rPr>
          <w:rFonts w:ascii="Times New Roman" w:hAnsi="Times New Roman"/>
          <w:i/>
          <w:color w:val="000000"/>
          <w:sz w:val="20"/>
        </w:rPr>
        <w:t xml:space="preserve">Competency. </w:t>
      </w:r>
      <w:r>
        <w:rPr>
          <w:rFonts w:ascii="Times New Roman" w:hAnsi="Times New Roman"/>
          <w:color w:val="000000"/>
          <w:sz w:val="20"/>
        </w:rPr>
        <w:t>We did not have sufficient technical accounting expertise and competency within the finance function to appropriately apply U.S. GAAP to complex and non-routine transactions. Specifically, we did not maintain adequate personnel with the appropriate level of knowledge, experience and training to (i) identify accounting issues requiring specialized judgment, (ii) research and interpret relevant accounting guidance, and (iii) design and execute effective controls over the accounting for such transactions. As a result, certain controls designed to prevent or detect misstatements in a timely manner were not operating effectively.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Accounting policies and procedures. </w:t>
      </w:r>
      <w:r>
        <w:rPr>
          <w:rFonts w:ascii="Times New Roman" w:hAnsi="Times New Roman"/>
          <w:color w:val="000000"/>
          <w:sz w:val="20"/>
        </w:rPr>
        <w:t xml:space="preserve">We did not maintain effective controls over financial reporting related to the design and adequacy of our accounting policies and procedures supporting the identification, estimation, and recording of certain significant accounting estimates, specifically, those related to the evaluation of excess and obsolete inventory, the estimation of expected credit losses, classification of certain supplier prepayments made as current or noncurrent assets and classification of loss on supplier commitment liability as current or noncurrent liabilities; the identification and accounting for variable consideration, and processes and procedures to identify and assess the accounting of non-standard revenue contracts and related terms. Our accounting policies did not provide adequate guidance to ensure that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matters were consistently identified, evaluated and accounted for in accordance with U.S. GAAP, or that changes in relevant facts and circumstances were appropriately reflected in management's accounting conclusions.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Information technology general controls.</w:t>
      </w:r>
      <w:r>
        <w:rPr>
          <w:color w:val="000000"/>
        </w:rPr>
        <w:t xml:space="preserve"> </w:t>
      </w:r>
      <w:r>
        <w:rPr>
          <w:rFonts w:ascii="Times New Roman" w:hAnsi="Times New Roman"/>
          <w:color w:val="000000"/>
          <w:sz w:val="20"/>
        </w:rPr>
        <w:t xml:space="preserve">We did not maintain effective controls related to the design and operating effectiveness of information technology general controls over systems supporting financial reporting, including controls over logical access, program change management, and information technology operations. These information technology general control deficiencies impacted management's ability to rely on certain automated controls and system-generated reports.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Rebates and returns. </w:t>
      </w:r>
      <w:r>
        <w:rPr>
          <w:rFonts w:ascii="Times New Roman" w:hAnsi="Times New Roman"/>
          <w:color w:val="000000"/>
          <w:sz w:val="20"/>
        </w:rPr>
        <w:t xml:space="preserve">We did not maintain effective controls over our rebate and returns programs to ensure they completely identified relevant contract terms and program features were appropriately evaluated, and that rebate and returns accruals were estimated using reasonable and supportable assumptions that reflect expected customer behavior and historical experience as required under ASC 606, </w:t>
      </w:r>
      <w:r>
        <w:rPr>
          <w:rFonts w:ascii="Times New Roman" w:hAnsi="Times New Roman"/>
          <w:i/>
          <w:color w:val="000000"/>
          <w:sz w:val="20"/>
        </w:rPr>
        <w:t>Revenue from Contracts with Customers</w:t>
      </w:r>
      <w:r>
        <w:rPr>
          <w:rFonts w:ascii="Times New Roman" w:hAnsi="Times New Roman"/>
          <w:color w:val="000000"/>
          <w:sz w:val="20"/>
        </w:rPr>
        <w:t>. In addition, controls were not sufficiently precise to ensure that changes in rebate programs, pricing arrangements, sales trends, channel inventory amounts, and other relevant inputs were timely incorporated into the estimation of variable consideration.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Excess and obsolete inventory.</w:t>
      </w:r>
      <w:r>
        <w:rPr>
          <w:color w:val="000000"/>
        </w:rPr>
        <w:t xml:space="preserve"> </w:t>
      </w:r>
      <w:r>
        <w:rPr>
          <w:rFonts w:ascii="Times New Roman" w:hAnsi="Times New Roman"/>
          <w:color w:val="000000"/>
          <w:sz w:val="20"/>
        </w:rPr>
        <w:t xml:space="preserve">We did not maintain effective controls over financial reporting related to the identification, estimation and recording of excess and obsolete inventory reserves for finished goods and component inventory. Specifically, we did not design and maintain effective controls to ensure that inventory items that were excess, slow-moving, or obsolete were identified timely and appropriately evaluated based on remaining lifetime demand, product life cycles, customer requirements, and technological changes. In addition, controls were not sufficiently designed or operating effectively to ensure that inventory reserve estimates were developed using reasonable and supportable assumptions, including consideration of historic sales or usage and remaining lifetime demand.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pPr>
      <w:r>
        <w:rPr>
          <w:rFonts w:ascii="Times New Roman" w:hAnsi="Times New Roman"/>
          <w:i/>
          <w:color w:val="000000"/>
          <w:sz w:val="20"/>
        </w:rPr>
        <w:t xml:space="preserve">Impairment accounting. </w:t>
      </w:r>
      <w:r>
        <w:rPr>
          <w:rFonts w:ascii="Times New Roman" w:hAnsi="Times New Roman"/>
          <w:color w:val="000000"/>
          <w:sz w:val="20"/>
        </w:rPr>
        <w:t xml:space="preserve">We did not maintain effective controls over the timely identification of impairment triggering events or the proper evaluation and recording of impairments related to goodwill, intangible assets, and long-lived assets in accordance with ASC 350, </w:t>
      </w:r>
      <w:r>
        <w:rPr>
          <w:rFonts w:ascii="Times New Roman" w:hAnsi="Times New Roman"/>
          <w:i/>
          <w:color w:val="000000"/>
          <w:sz w:val="20"/>
        </w:rPr>
        <w:t>Intangibles - Goodwill and Other</w:t>
      </w:r>
      <w:r>
        <w:rPr>
          <w:rFonts w:ascii="Times New Roman" w:hAnsi="Times New Roman"/>
          <w:color w:val="000000"/>
          <w:sz w:val="20"/>
        </w:rPr>
        <w:t xml:space="preserve">, and ASC 360, </w:t>
      </w:r>
      <w:r>
        <w:rPr>
          <w:rFonts w:ascii="Times New Roman" w:hAnsi="Times New Roman"/>
          <w:i/>
          <w:color w:val="000000"/>
          <w:sz w:val="20"/>
        </w:rPr>
        <w:t>Property, Plant and Equipment</w:t>
      </w:r>
      <w:r>
        <w:rPr>
          <w:rFonts w:ascii="Times New Roman" w:hAnsi="Times New Roman"/>
          <w:color w:val="000000"/>
          <w:sz w:val="20"/>
        </w:rPr>
        <w:t xml:space="preserve">. Specifically, we did not ensure that events or changes in circumstances indicating that the carrying amounts of reporting units, asset groups, or individual long-lived assets may not be recoverable were identified and assessed on a timely basis. Additionally, controls were not adequately designed or operating effectively to ensure that, upon identification of a triggering event, appropriate qualitative and quantitative impairment analyses were performed and that any resulting impairment charges were accurately measured and recorded in the appropriate reporting period.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pPr>
      <w:r>
        <w:rPr>
          <w:rFonts w:ascii="Times New Roman" w:hAnsi="Times New Roman"/>
          <w:i/>
          <w:color w:val="000000"/>
          <w:sz w:val="20"/>
        </w:rPr>
        <w:t xml:space="preserve">Income taxes. </w:t>
      </w:r>
      <w:r>
        <w:rPr>
          <w:rFonts w:ascii="Times New Roman" w:hAnsi="Times New Roman"/>
          <w:color w:val="000000"/>
          <w:sz w:val="20"/>
        </w:rPr>
        <w:t xml:space="preserve">We did not maintain effective controls over the identification, evaluation, and timely recording of valuation allowances in accordance with ASC 740, </w:t>
      </w:r>
      <w:r>
        <w:rPr>
          <w:rFonts w:ascii="Times New Roman" w:hAnsi="Times New Roman"/>
          <w:i/>
          <w:color w:val="000000"/>
          <w:sz w:val="20"/>
        </w:rPr>
        <w:t>Income Taxes</w:t>
      </w:r>
      <w:r>
        <w:rPr>
          <w:rFonts w:ascii="Times New Roman" w:hAnsi="Times New Roman"/>
          <w:color w:val="000000"/>
          <w:sz w:val="20"/>
        </w:rPr>
        <w:t xml:space="preserve">. Specifically, controls were not designed or operating effectively to ensure that all available positive and negative evidence relevant to the realizability of deferred tax assets was appropriately identified, evaluated, and monitored on a timely basis. Additionally, we did not maintain effective controls to ensure that changes in facts and circumstances affecting the realizability of deferred tax assets were consistently incorporated into management's conclusions regarding the need for, and amount of, a valuation allowance, or that resulting deferred tax balances were recorded in the appropriate reporting period.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pPr>
      <w:r>
        <w:rPr>
          <w:rFonts w:ascii="Times New Roman" w:hAnsi="Times New Roman"/>
          <w:i/>
          <w:color w:val="000000"/>
          <w:sz w:val="20"/>
        </w:rPr>
        <w:t xml:space="preserve">Classification of prepaid supplier payments and loss on commitment liability. </w:t>
      </w:r>
      <w:r>
        <w:rPr>
          <w:rFonts w:ascii="Times New Roman" w:hAnsi="Times New Roman"/>
          <w:color w:val="000000"/>
          <w:sz w:val="20"/>
        </w:rPr>
        <w:t>We did not maintain effective controls over our classification of prepaid supplier payments and loss on supplier commitment liability. Specifically, controls were not designed or operating effectively to ensure that relevant, available and knowable information was adequately used to determine the appropriate noncurrent portion of the supplier prepayments and loss on supplier commitment liability.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pPr>
      <w:r>
        <w:rPr>
          <w:rFonts w:ascii="Times New Roman" w:hAnsi="Times New Roman"/>
          <w:i/>
          <w:color w:val="000000"/>
          <w:sz w:val="20"/>
        </w:rPr>
        <w:t>Estimate of the allowance for credit losses.</w:t>
      </w:r>
      <w:r>
        <w:rPr>
          <w:color w:val="000000"/>
        </w:rPr>
        <w:t xml:space="preserve"> </w:t>
      </w:r>
      <w:r>
        <w:rPr>
          <w:rFonts w:ascii="Times New Roman" w:hAnsi="Times New Roman"/>
          <w:color w:val="000000"/>
          <w:sz w:val="20"/>
        </w:rPr>
        <w:t xml:space="preserve">We did not maintain effective controls over the evaluation and timely recording of bad debt expense. Specifically, controls were not designed or operating effectively to ensure that certain adjustments to accounts receivable were recorded on a timely basis in the appropriate reporting period.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Ongoing Remediation Efforts to Address the Previously Identified Material Weaknesses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Management, with oversight from the Audit Committee of our Board of Directors, is taking steps to remediate the material weaknesses described above by implementing changes to our internal control over financial reporting. Management is in the process of enhancing, and will continue to enhance, the risk assessment process and design and implementation of internal controls over financial reporting. The remediation measures to correct the previously identified material weaknesses include, but are not limited to, the efforts summarized below:</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Hiring additional personnel and/or continuing to engage contractors and third-party advisors with technical accounting expertise and competency to appropriately apply U.S. GAAP to complex and non-routine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Enhancing monitoring of user access and change management by performing comprehensive review of user roles and permissions.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Implementing enhanced controls over the calculation of the estimate for incentives associated with distributor rebates, particularly as it relates to the completeness and accuracy of the information produced by the entity (IPE) and assumptions used in developing the estimate of future rebates to be issued, as well as control over the information produced, including spreadsheets, reports and data by our IT systems, to develop these estimates.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Implementing enhanced controls over the calculation of estimate for sales returns, particularly as it relates to the assumptions used in the estimate of returns to be received.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Enhancing or designing and implementing controls over the completeness and accuracy of information used in financial forecasts used to calculate the estimate of excess and obsolete inventory and impairment analysis, particularly as it relates to our assessment of underlying assumptions about demand for our products, together with procedures and documentation to corroborate our assessment of the underlying assumptions about demand for our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Enhancing or designing and implementing controls over the accounting for income taxes to ensure the appropriate recording of deferred income taxes, deferred tax valuation allowances and related disclosures. Also, engaging a third-party advisor to assist management in making improvements to our evaluation and documentation of accounting for deferred tax valuation allowances.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Enhancing or designing and implementing controls over the completeness and accuracy of information used in our assessment to determine the appropriate noncurrent portion of the supplier prepayments and loss on supplier commitments liability.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Enhancing or designing and implementing controls over the completeness of information used in the determination of our allowance for credit losses, particularly as it relates to our assessment of the underlying assumptions about the collectability of aged accounts receivable, together with procedures and documentation to corroborate our assessment of the underlying assumptions about the collectability of aged accounts receivable.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we continue to evaluate and work to improve our internal control over financial reporting, management may determine to take additional measures to strengthen controls or to modify the remediation measures described above. When fully implemented and operational, we believe the controls we have designed or plan to design will remediate the material weaknesses that we have identified. Following our design and implementation of our remediation efforts, we will need to demonstrate their operating effectiveness. We will not be able to consider the material weakness remediated until the applicable remedial controls operate for a sufficient period of time and our management has concluded, through testing, that our control is operating effectively.</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Changes in internal control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continue working towards implementing processes and procedures to address the material weaknesses noted above. Other than the ongoing remediation activities described above, there were no changes in our internal control over financial reporting identified in management’s evaluation pursuant to Rules 13a-15(e) and 15d-15(e) of the Exchange Act during the period covered by this Quarterly Report on Form 10-Q that materially affected, or are reasonably likely to materially affect, our internal control over financial reporting.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Limitations on effectiveness of controls and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from time to time assert legal claims against us. Our industry is characterized by vigorous protection and pursuit of intellectual property rights. A number of companies hold a large number of patents that may cover technology necessary to our products. We have in the past received and expect to continue to receive claims by third parties that we infringe their intellectual property rights. In the opinion of management, we believe we have established adequate accruals pursuant to U.S. generally accepted accounting principles for any expected future liability with respect to pending lawsuits, claims and proceedings, where the nature and extent of any such liability can be reasonably estimated based on presently available information. However, there can be no assurance that the final resolution of any existing or future lawsuits, claims or proceedings will not have a material adverse effect on our business, results of operations, financial conditions, or cash 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additional information, see Note 12. Commitments and contingencies in the Notes to the Consolidated Financial Statements in this Quarterly Report on Form 10-Q and Part I, Item 3. Legal Proceedings in the Company’s Comprehensive Form 10-K for the fiscal year ended December 31, 2024. </w:t>
      </w:r>
    </w:p>
    <w:p>
      <w:pPr>
        <w:pStyle w:val="TextBody"/>
        <w:bidi w:val="0"/>
        <w:spacing w:before="360" w:after="12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material changes to the risk factors as disclosed in Item 1A of our Comprehensive Form 10-K for the fiscal year ended December 31, 2024. Additional risks and uncertainties, including risks and uncertainties not presently known to us, or that we currently deem immaterial, could also have an adverse effect on our business, financial condition and/or results of operations. </w:t>
      </w:r>
    </w:p>
    <w:p>
      <w:pPr>
        <w:pStyle w:val="TextBody"/>
        <w:bidi w:val="0"/>
        <w:spacing w:before="360" w:after="12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40"/>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4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40"/>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During the three-month period ended June 30, 2025, none of the Company's directors or officers (as defined in Rule 16a-1(f) of the Securities and Exchange Act of 1934) adopted, terminated or modified a Rule 10b5-1 trading arrangement or non-Rule 10b5-1 trading arrangement (as such terms are defined in Item 408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filed the exhibits listed on the accompanying Exhibit Index, which is incorporated herein by reference.</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85"/>
        <w:gridCol w:w="146"/>
        <w:gridCol w:w="9274"/>
      </w:tblGrid>
      <w:tr>
        <w:trPr/>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4"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mbmf-ex31_1.htm">
              <w:r>
                <w:rPr>
                  <w:rStyle w:val="InternetLink"/>
                  <w:rFonts w:ascii="Times New Roman" w:hAnsi="Times New Roman"/>
                  <w:color w:val="0563C1"/>
                  <w:sz w:val="20"/>
                  <w:u w:val="single"/>
                </w:rPr>
                <w:t>Certification of Chief Executive Officer Pursuant to Rules 13a-14(a) and 15d-14(a) under the Securities Exchange Act of 1934, as Adopted Pursuant to Section 302 of the Sarbanes-Oxley Act of 2002.</w:t>
              </w:r>
            </w:hyperlink>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mbmf-ex31_2.htm">
              <w:r>
                <w:rPr>
                  <w:rStyle w:val="InternetLink"/>
                  <w:rFonts w:ascii="Times New Roman" w:hAnsi="Times New Roman"/>
                  <w:color w:val="0563C1"/>
                  <w:sz w:val="20"/>
                  <w:u w:val="single"/>
                </w:rPr>
                <w:t>Certification of Chief Financial Officer Pursuant to Rules 13a-14(a) and 15d-14(a) under the Securities Exchange Act of 1934, as Adopted Pursuant to Section 302 of the Sarbanes-Oxley Act of 2002.</w:t>
              </w:r>
            </w:hyperlink>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mbmf-ex32_1.htm">
              <w:r>
                <w:rPr>
                  <w:rStyle w:val="InternetLink"/>
                  <w:rFonts w:ascii="Times New Roman" w:hAnsi="Times New Roman"/>
                  <w:color w:val="0563C1"/>
                  <w:sz w:val="20"/>
                  <w:u w:val="single"/>
                </w:rPr>
                <w:t>Certification of Chief Executive Officer Pursuant to 18 U.S.C. Section 1350, as Adopted Pursuant to Section 906 of the Sarbanes-Oxley Act of 2002.</w:t>
              </w:r>
            </w:hyperlink>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mbmf-ex32_2.htm">
              <w:r>
                <w:rPr>
                  <w:rStyle w:val="InternetLink"/>
                  <w:rFonts w:ascii="Times New Roman" w:hAnsi="Times New Roman"/>
                  <w:color w:val="0563C1"/>
                  <w:sz w:val="20"/>
                  <w:u w:val="single"/>
                </w:rPr>
                <w:t>Certification of Chief Financial Officer Pursuant to 18 U.S.C. Section 1350, as Adopted Pursuant to Section 906 of the Sarbanes-Oxley Act of 2002.</w:t>
              </w:r>
            </w:hyperlink>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32" w:type="dxa"/>
        <w:jc w:val="left"/>
        <w:tblInd w:w="0" w:type="dxa"/>
        <w:tblLayout w:type="fixed"/>
        <w:tblCellMar>
          <w:top w:w="28" w:type="dxa"/>
          <w:left w:w="28" w:type="dxa"/>
          <w:bottom w:w="28" w:type="dxa"/>
          <w:right w:w="28" w:type="dxa"/>
        </w:tblCellMar>
      </w:tblPr>
      <w:tblGrid>
        <w:gridCol w:w="1786"/>
        <w:gridCol w:w="109"/>
        <w:gridCol w:w="406"/>
        <w:gridCol w:w="33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CAMBIUM NETWORKS CORPORATION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Morgan C. Kurk</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Morgan C. Kurk</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Mitchell Cohen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Mitchell Cohen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Interim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cmbmf-ex31_1.htm"/>
      <w:bookmarkStart w:id="23" w:name="kscmbmf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Morgan Kurk,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Cambium Networks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786"/>
        <w:gridCol w:w="109"/>
        <w:gridCol w:w="406"/>
        <w:gridCol w:w="21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Morgan Kurk</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Morgan Kurk</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mbmf-ex31_2.htm"/>
      <w:bookmarkStart w:id="25" w:name="kscmbmf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Mitchell Cohen,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Cambium Networks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1786"/>
        <w:gridCol w:w="109"/>
        <w:gridCol w:w="406"/>
        <w:gridCol w:w="279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Mitchell Cohen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Mitchell Cohen</w:t>
            </w:r>
            <w:r>
              <w:rPr>
                <w:rFonts w:ascii="Times New Roman" w:hAnsi="Times New Roman"/>
                <w:color w:val="000000"/>
                <w:sz w:val="20"/>
              </w:rPr>
              <w:t xml:space="preserve">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Interim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mbmf-ex32_1.htm"/>
      <w:bookmarkStart w:id="27" w:name="kscmbmf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Cambium Networks Corporation (the “Company”) on Form 10-Q for the period ended June 30, 2025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786"/>
        <w:gridCol w:w="109"/>
        <w:gridCol w:w="406"/>
        <w:gridCol w:w="21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Morgan Kurk</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Morgan Kurk</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mbmf-ex32_2.htm"/>
      <w:bookmarkStart w:id="29" w:name="kscmbmf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Cambium Networks Corporation (the “Company”) on Form 10-Q for the period ended June 30, 2025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1786"/>
        <w:gridCol w:w="109"/>
        <w:gridCol w:w="406"/>
        <w:gridCol w:w="279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Mitchell Cohen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Mitchell Cohen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Interim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25651</Words>
  <Characters>141229</Characters>
  <CharactersWithSpaces>168889</CharactersWithSpaces>
  <Paragraphs>9502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