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812"/>
        <w:spacing w:after="0" w:line="344" w:lineRule="auto"/>
        <w:tabs>
          <w:tab w:leader="none" w:pos="49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53" w:lineRule="exact"/>
        <w:rPr>
          <w:sz w:val="24"/>
          <w:szCs w:val="24"/>
          <w:color w:val="auto"/>
        </w:rPr>
      </w:pPr>
    </w:p>
    <w:p>
      <w:pPr>
        <w:ind w:left="4440" w:right="1580" w:hanging="4432"/>
        <w:spacing w:after="0" w:line="328" w:lineRule="auto"/>
        <w:tabs>
          <w:tab w:leader="none" w:pos="48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001-38952</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CAMBIUM NETWORKS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-306705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jc w:val="center"/>
              <w:ind w:right="114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148"/>
        </w:trPr>
        <w:tc>
          <w:tcPr>
            <w:tcW w:w="4960" w:type="dxa"/>
            <w:vAlign w:val="bottom"/>
            <w:gridSpan w:val="4"/>
          </w:tcPr>
          <w:p>
            <w:pPr>
              <w:jc w:val="center"/>
              <w:ind w:left="53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tcPr>
          <w:p>
            <w:pPr>
              <w:jc w:val="center"/>
              <w:ind w:right="1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Pr>
          <w:p>
            <w:pPr>
              <w:jc w:val="center"/>
              <w:ind w:right="11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rPr>
              <w:t>c/o Cambium Networks, Inc.</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8"/>
                <w:szCs w:val="18"/>
                <w:b w:val="1"/>
                <w:bCs w:val="1"/>
                <w:color w:val="auto"/>
                <w:w w:val="99"/>
              </w:rPr>
              <w:t>2000 Center Drive, Suite East A401</w:t>
            </w: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60" w:type="dxa"/>
            <w:vAlign w:val="bottom"/>
            <w:gridSpan w:val="4"/>
          </w:tcPr>
          <w:p>
            <w:pPr>
              <w:jc w:val="center"/>
              <w:ind w:left="517"/>
              <w:spacing w:after="0"/>
              <w:rPr>
                <w:sz w:val="20"/>
                <w:szCs w:val="20"/>
                <w:color w:val="auto"/>
              </w:rPr>
            </w:pPr>
            <w:r>
              <w:rPr>
                <w:rFonts w:ascii="Times New Roman" w:cs="Times New Roman" w:eastAsia="Times New Roman" w:hAnsi="Times New Roman"/>
                <w:sz w:val="18"/>
                <w:szCs w:val="18"/>
                <w:b w:val="1"/>
                <w:bCs w:val="1"/>
                <w:color w:val="auto"/>
                <w:w w:val="99"/>
              </w:rPr>
              <w:t>Hoffman Estates, Illinois 60192</w:t>
            </w:r>
          </w:p>
        </w:tc>
        <w:tc>
          <w:tcPr>
            <w:tcW w:w="1780" w:type="dxa"/>
            <w:vAlign w:val="bottom"/>
          </w:tcPr>
          <w:p>
            <w:pPr>
              <w:spacing w:after="0"/>
              <w:rPr>
                <w:sz w:val="18"/>
                <w:szCs w:val="18"/>
                <w:color w:val="auto"/>
              </w:rPr>
            </w:pPr>
          </w:p>
        </w:tc>
        <w:tc>
          <w:tcPr>
            <w:tcW w:w="4500" w:type="dxa"/>
            <w:vAlign w:val="bottom"/>
            <w:gridSpan w:val="3"/>
          </w:tcPr>
          <w:p>
            <w:pPr>
              <w:jc w:val="center"/>
              <w:ind w:right="981"/>
              <w:spacing w:after="0"/>
              <w:rPr>
                <w:sz w:val="20"/>
                <w:szCs w:val="20"/>
                <w:color w:val="auto"/>
              </w:rPr>
            </w:pPr>
            <w:r>
              <w:rPr>
                <w:rFonts w:ascii="Times New Roman" w:cs="Times New Roman" w:eastAsia="Times New Roman" w:hAnsi="Times New Roman"/>
                <w:sz w:val="18"/>
                <w:szCs w:val="18"/>
                <w:b w:val="1"/>
                <w:bCs w:val="1"/>
                <w:color w:val="auto"/>
                <w:w w:val="99"/>
              </w:rPr>
              <w:t>(345) 814-7600</w:t>
            </w:r>
          </w:p>
        </w:tc>
        <w:tc>
          <w:tcPr>
            <w:tcW w:w="0" w:type="dxa"/>
            <w:vAlign w:val="bottom"/>
          </w:tcPr>
          <w:p>
            <w:pPr>
              <w:spacing w:after="0"/>
              <w:rPr>
                <w:sz w:val="1"/>
                <w:szCs w:val="1"/>
                <w:color w:val="auto"/>
              </w:rPr>
            </w:pPr>
          </w:p>
        </w:tc>
      </w:tr>
      <w:tr>
        <w:trPr>
          <w:trHeight w:val="190"/>
        </w:trPr>
        <w:tc>
          <w:tcPr>
            <w:tcW w:w="4960" w:type="dxa"/>
            <w:vAlign w:val="bottom"/>
            <w:gridSpan w:val="4"/>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gridSpan w:val="2"/>
          </w:tcPr>
          <w:p>
            <w:pPr>
              <w:jc w:val="center"/>
              <w:ind w:right="10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78"/>
        </w:trPr>
        <w:tc>
          <w:tcPr>
            <w:tcW w:w="4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49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7"/>
                <w:szCs w:val="17"/>
                <w:color w:val="auto"/>
              </w:rPr>
            </w:pPr>
          </w:p>
        </w:tc>
        <w:tc>
          <w:tcPr>
            <w:tcW w:w="480" w:type="dxa"/>
            <w:vAlign w:val="bottom"/>
            <w:gridSpan w:val="2"/>
            <w:vMerge w:val="restart"/>
          </w:tcPr>
          <w:p>
            <w:pPr>
              <w:spacing w:after="0"/>
              <w:rPr>
                <w:sz w:val="17"/>
                <w:szCs w:val="17"/>
                <w:color w:val="auto"/>
              </w:rPr>
            </w:pPr>
          </w:p>
        </w:tc>
        <w:tc>
          <w:tcPr>
            <w:tcW w:w="17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tcBorders>
              <w:bottom w:val="single" w:sz="8" w:color="auto"/>
            </w:tcBorders>
            <w:gridSpan w:val="2"/>
            <w:vMerge w:val="continue"/>
          </w:tcPr>
          <w:p>
            <w:pPr>
              <w:spacing w:after="0"/>
              <w:rPr>
                <w:sz w:val="15"/>
                <w:szCs w:val="15"/>
                <w:color w:val="auto"/>
              </w:rPr>
            </w:pPr>
          </w:p>
        </w:tc>
        <w:tc>
          <w:tcPr>
            <w:tcW w:w="1780" w:type="dxa"/>
            <w:vAlign w:val="bottom"/>
            <w:tcBorders>
              <w:bottom w:val="single" w:sz="8" w:color="auto"/>
            </w:tcBorders>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96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rPr>
              <w:t>Ordinary shares, $0.0001 par value</w:t>
            </w:r>
          </w:p>
        </w:tc>
        <w:tc>
          <w:tcPr>
            <w:tcW w:w="1780" w:type="dxa"/>
            <w:vAlign w:val="bottom"/>
          </w:tcPr>
          <w:p>
            <w:pPr>
              <w:jc w:val="center"/>
              <w:ind w:right="342"/>
              <w:spacing w:after="0"/>
              <w:rPr>
                <w:sz w:val="20"/>
                <w:szCs w:val="20"/>
                <w:color w:val="auto"/>
              </w:rPr>
            </w:pPr>
            <w:r>
              <w:rPr>
                <w:rFonts w:ascii="Times New Roman" w:cs="Times New Roman" w:eastAsia="Times New Roman" w:hAnsi="Times New Roman"/>
                <w:sz w:val="18"/>
                <w:szCs w:val="18"/>
                <w:color w:val="auto"/>
              </w:rPr>
              <w:t>CMBMF*</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 (OTC Markets Group, Inc.)*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0"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60" w:firstLine="517"/>
        <w:spacing w:after="0" w:line="254"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on March 26, 2026, following receipt of a delisting notice from The Nasdaq Stock Market LLC, trading in the Company's ordinary shares on the Nasdaq Global Market was suspended on March 27, 2026 and on March 30, 2026, the Company's ordinary shares commenced trading on the OTC Experts Market under the symbol "CMBMF".</w:t>
      </w:r>
    </w:p>
    <w:p>
      <w:pPr>
        <w:spacing w:after="0" w:line="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23, 2026, the registrant had 29,031,302 ordinary shares,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Shareholders’ Equity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All statements other than statements of historical fact contained in this Quarterly Report on Form 10-Q, including statements regarding our future results of operations and financial position,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may be identified by terms such as “may,” “should,” “expects,” “plans,” “anticipates,” “could,” “intends,” “target,” “projects,”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Because forward-looking statements are inherently subject to risks and uncertainties, some of which cannot be predicted or quantified, they should not be relied upon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80"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the listing of our ordinary shares on the Nasdaq Stock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unpredictability of our operating results;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and our ability to maintain an effective system of internal controls, produce timely and accurate financial statements or comply with applicable regulations;</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regain compliance with or obtain a waiver of compliance with the financial covenants under our secured credit facilities;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respond to emerging technological trends and network operators' changing needs;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future demand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inventory and the risk of excess or obsolete inventory in our channel;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pressures on the development of new products;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caused by political tensions around the world including wars in Ukraine, Iran, as well as tensions between the United States and China and events in Israel, Gaza and the Middle East;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or other regulatory changes imposed by the United States or other countries on imports;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dollar and the impact of currency fluctuations on the cost of our products globally;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economic conditions, both domestically and in our foreign markets, including the risk of global or localized recessions;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acquire components required to build our products as well as the impact of supply shortages, extended lead times or changes in supply of components and other parts required to manufacture our products;</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which subjects us to risks of product delivery delays and reduced control over product costs and quality;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and value-added resellers for the substantial majority of our sales;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third-party logistics and warehousing providers to deliver products to our channel partners and network operators in a timely manner;</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complexity of our products, which may contain undetected hardware defects or software bugs or subject our products to the risks of ransomware or malware or other cyber attacks;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of our channel partners, which could adversely affect their ability to purchase or pay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intellectual property protections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health epidemics and other outbreaks;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availability of third-party licenses.</w:t>
      </w:r>
    </w:p>
    <w:p>
      <w:pPr>
        <w:spacing w:after="0" w:line="117" w:lineRule="exact"/>
        <w:rPr>
          <w:sz w:val="20"/>
          <w:szCs w:val="20"/>
          <w:color w:val="auto"/>
        </w:rPr>
      </w:pPr>
    </w:p>
    <w:p>
      <w:pPr>
        <w:jc w:val="center"/>
        <w:ind w:right="18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ind w:firstLine="509"/>
        <w:spacing w:after="0" w:line="261"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herein, whether as a result of any new information, future events or otherwise.</w:t>
      </w:r>
    </w:p>
    <w:p>
      <w:pPr>
        <w:jc w:val="center"/>
        <w:ind w:right="-3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93" w:right="6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200"/>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120" w:type="dxa"/>
            <w:vAlign w:val="bottom"/>
          </w:tcPr>
          <w:p>
            <w:pPr>
              <w:spacing w:after="0"/>
              <w:rPr>
                <w:sz w:val="12"/>
                <w:szCs w:val="12"/>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2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27,808</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 net of allowance for credit losses of $3,402 and $3,375</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35,624</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41,990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37,541</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12,427</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12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136,538</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120,222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Software, net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12,535</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14,961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173,728</w:t>
            </w:r>
          </w:p>
        </w:tc>
        <w:tc>
          <w:tcPr>
            <w:tcW w:w="220" w:type="dxa"/>
            <w:vAlign w:val="bottom"/>
          </w:tcPr>
          <w:p>
            <w:pPr>
              <w:spacing w:after="0"/>
              <w:rPr>
                <w:sz w:val="17"/>
                <w:szCs w:val="17"/>
                <w:color w:val="auto"/>
              </w:rPr>
            </w:pP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159,286</w:t>
            </w:r>
          </w:p>
        </w:tc>
        <w:tc>
          <w:tcPr>
            <w:tcW w:w="1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DEFICIT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16,487</w:t>
            </w:r>
          </w:p>
        </w:tc>
        <w:tc>
          <w:tcPr>
            <w:tcW w:w="2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34,781</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Employee compensation</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66,965</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12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135,911</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133,551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revenues</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12,443</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w:t>
            </w: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12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176,965</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172,404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capital; $0.0001 par value; 500,000,000 shares authorized at December 31, 2024 and March 31, 2025;</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28,885,152 shares issued and 28,612,181 outstanding at December 31, 2024 and 28,991,293 shares issued and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28,689,754 outstanding at March 31, 2025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r>
      <w:tr>
        <w:trPr>
          <w:trHeight w:val="205"/>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163,441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165,518</w:t>
            </w:r>
          </w:p>
        </w:tc>
        <w:tc>
          <w:tcPr>
            <w:tcW w:w="12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shares, at cost, 272,971 shares at December 31, 2024 and 301,539 shares at March 31, 2025</w:t>
            </w:r>
          </w:p>
        </w:tc>
        <w:tc>
          <w:tcPr>
            <w:tcW w:w="20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(5,665)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(5,688)</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(158,855)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(170,871)</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(2,161)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(2,080)</w:t>
            </w:r>
          </w:p>
        </w:tc>
      </w:tr>
      <w:tr>
        <w:trPr>
          <w:trHeight w:val="20"/>
        </w:trPr>
        <w:tc>
          <w:tcPr>
            <w:tcW w:w="7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(3,237)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(13,118)</w:t>
            </w:r>
          </w:p>
        </w:tc>
      </w:tr>
      <w:tr>
        <w:trPr>
          <w:trHeight w:val="196"/>
        </w:trPr>
        <w:tc>
          <w:tcPr>
            <w:tcW w:w="774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 AND DEFICIT</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173,728</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159,286</w:t>
            </w:r>
          </w:p>
        </w:tc>
        <w:tc>
          <w:tcPr>
            <w:tcW w:w="120" w:type="dxa"/>
            <w:vAlign w:val="bottom"/>
            <w:tcBorders>
              <w:top w:val="single" w:sz="8" w:color="CFF0FC"/>
            </w:tcBorders>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-4362450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-4362450</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-3582670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-3582670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-2253615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-1464945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-161925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6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42,178</w:t>
            </w:r>
          </w:p>
        </w:tc>
        <w:tc>
          <w:tcPr>
            <w:tcW w:w="1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29,127</w:t>
            </w:r>
          </w:p>
        </w:tc>
        <w:tc>
          <w:tcPr>
            <w:tcW w:w="100" w:type="dxa"/>
            <w:vAlign w:val="bottom"/>
          </w:tcPr>
          <w:p>
            <w:pPr>
              <w:spacing w:after="0"/>
              <w:rPr>
                <w:sz w:val="18"/>
                <w:szCs w:val="18"/>
                <w:color w:val="auto"/>
              </w:rPr>
            </w:pPr>
          </w:p>
        </w:tc>
      </w:tr>
      <w:tr>
        <w:trPr>
          <w:trHeight w:val="203"/>
        </w:trPr>
        <w:tc>
          <w:tcPr>
            <w:tcW w:w="7140" w:type="dxa"/>
            <w:vAlign w:val="bottom"/>
            <w:tcBorders>
              <w:bottom w:val="single" w:sz="8" w:color="CFF0FC"/>
            </w:tcBorders>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Subscriptions and services</w:t>
            </w: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4,892</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16,912</w:t>
            </w:r>
          </w:p>
        </w:tc>
        <w:tc>
          <w:tcPr>
            <w:tcW w:w="100" w:type="dxa"/>
            <w:vAlign w:val="bottom"/>
          </w:tcPr>
          <w:p>
            <w:pPr>
              <w:spacing w:after="0"/>
              <w:rPr>
                <w:sz w:val="18"/>
                <w:szCs w:val="18"/>
                <w:color w:val="auto"/>
              </w:rPr>
            </w:pPr>
          </w:p>
        </w:tc>
      </w:tr>
      <w:tr>
        <w:trPr>
          <w:trHeight w:val="203"/>
        </w:trPr>
        <w:tc>
          <w:tcPr>
            <w:tcW w:w="7140" w:type="dxa"/>
            <w:vAlign w:val="bottom"/>
            <w:tcBorders>
              <w:bottom w:val="single" w:sz="8" w:color="CFF0FC"/>
            </w:tcBorders>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Subscriptions and services</w:t>
            </w: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6,305</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FF0FC"/>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00" w:type="dxa"/>
            <w:vAlign w:val="bottom"/>
          </w:tcPr>
          <w:p>
            <w:pPr>
              <w:spacing w:after="0"/>
              <w:rPr>
                <w:sz w:val="18"/>
                <w:szCs w:val="18"/>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(15,580)</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(9,604)</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18"/>
                <w:szCs w:val="18"/>
                <w:color w:val="auto"/>
              </w:rPr>
            </w:pPr>
          </w:p>
        </w:tc>
      </w:tr>
      <w:tr>
        <w:trPr>
          <w:trHeight w:val="203"/>
        </w:trPr>
        <w:tc>
          <w:tcPr>
            <w:tcW w:w="714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(11,638)</w:t>
            </w:r>
          </w:p>
        </w:tc>
      </w:tr>
      <w:tr>
        <w:trPr>
          <w:trHeight w:val="203"/>
        </w:trPr>
        <w:tc>
          <w:tcPr>
            <w:tcW w:w="714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(18,448)</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(12,016)</w:t>
            </w:r>
          </w:p>
        </w:tc>
      </w:tr>
      <w:tr>
        <w:trPr>
          <w:trHeight w:val="68"/>
        </w:trPr>
        <w:tc>
          <w:tcPr>
            <w:tcW w:w="7140" w:type="dxa"/>
            <w:vAlign w:val="bottom"/>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1540" w:type="dxa"/>
            <w:vAlign w:val="bottom"/>
            <w:tcBorders>
              <w:top w:val="single" w:sz="8" w:color="auto"/>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142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0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14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(0.66)</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to compute net loss per share</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27,849,604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28,628,651</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27,849,604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28,628,651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(18,448)</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(12,016)</w:t>
            </w:r>
          </w:p>
        </w:tc>
      </w:tr>
      <w:tr>
        <w:trPr>
          <w:trHeight w:val="203"/>
        </w:trPr>
        <w:tc>
          <w:tcPr>
            <w:tcW w:w="71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17"/>
                <w:szCs w:val="17"/>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(18,492)</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(11,935)</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-4396740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-3839845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-3274060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-2446655</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-2446655</wp:posOffset>
            </wp:positionV>
            <wp:extent cx="939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-1876425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-1602740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4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6"/>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48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Share Capital</w:t>
            </w: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shareholders'</w:t>
            </w: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10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1"/>
              </w:rPr>
              <w:t>shares</w:t>
            </w:r>
          </w:p>
        </w:tc>
        <w:tc>
          <w:tcPr>
            <w:tcW w:w="22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w w:val="98"/>
              </w:rPr>
              <w:t>Accumulated 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6"/>
              </w:rPr>
              <w:t>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 xml:space="preserve">Balance at December 31, 2023 </w:t>
            </w:r>
            <w:r>
              <w:rPr>
                <w:rFonts w:ascii="Times New Roman" w:cs="Times New Roman" w:eastAsia="Times New Roman" w:hAnsi="Times New Roman"/>
                <w:sz w:val="12"/>
                <w:szCs w:val="12"/>
                <w:color w:val="auto"/>
              </w:rPr>
              <w:t>(As Restated)</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27,835</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380" w:type="dxa"/>
            <w:vAlign w:val="bottom"/>
            <w:gridSpan w:val="2"/>
            <w:shd w:val="clear" w:color="auto" w:fill="CFF0FC"/>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152,768</w:t>
            </w:r>
          </w:p>
        </w:tc>
        <w:tc>
          <w:tcPr>
            <w:tcW w:w="360" w:type="dxa"/>
            <w:vAlign w:val="bottom"/>
            <w:gridSpan w:val="2"/>
            <w:shd w:val="clear" w:color="auto" w:fill="CFF0FC"/>
          </w:tcPr>
          <w:p>
            <w:pPr>
              <w:jc w:val="right"/>
              <w:ind w:right="4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(5,624)</w:t>
            </w:r>
          </w:p>
        </w:tc>
        <w:tc>
          <w:tcPr>
            <w:tcW w:w="54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(84,403)</w:t>
            </w:r>
          </w:p>
        </w:tc>
        <w:tc>
          <w:tcPr>
            <w:tcW w:w="220" w:type="dxa"/>
            <w:vAlign w:val="bottom"/>
            <w:gridSpan w:val="2"/>
            <w:shd w:val="clear" w:color="auto" w:fill="CFF0FC"/>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(1,615)</w:t>
            </w:r>
          </w:p>
        </w:tc>
        <w:tc>
          <w:tcPr>
            <w:tcW w:w="220" w:type="dxa"/>
            <w:vAlign w:val="bottom"/>
            <w:gridSpan w:val="2"/>
            <w:shd w:val="clear" w:color="auto" w:fill="CFF0FC"/>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61,129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loss (As Restated)</w:t>
            </w: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(18,448)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(18,448)</w:t>
            </w: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2,369</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2,369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Issuance of vested shares</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Treasury shares withheld for net settlement</w:t>
            </w:r>
          </w:p>
        </w:tc>
        <w:tc>
          <w:tcPr>
            <w:tcW w:w="124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(5)</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(22)</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March 31, 2024 (As Restated)</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27,893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155,137</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(5,646)</w:t>
            </w:r>
          </w:p>
        </w:tc>
        <w:tc>
          <w:tcPr>
            <w:tcW w:w="54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(102,851)</w:t>
            </w:r>
          </w:p>
        </w:tc>
        <w:tc>
          <w:tcPr>
            <w:tcW w:w="220" w:type="dxa"/>
            <w:vAlign w:val="bottom"/>
            <w:gridSpan w:val="2"/>
            <w:shd w:val="clear" w:color="auto" w:fill="CFF0FC"/>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(1,659)</w:t>
            </w:r>
          </w:p>
        </w:tc>
        <w:tc>
          <w:tcPr>
            <w:tcW w:w="220" w:type="dxa"/>
            <w:vAlign w:val="bottom"/>
            <w:gridSpan w:val="2"/>
            <w:shd w:val="clear" w:color="auto" w:fill="CFF0FC"/>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44,984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48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Share Capital</w:t>
            </w: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comprehensive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shareholders'</w:t>
            </w:r>
          </w:p>
        </w:tc>
        <w:tc>
          <w:tcPr>
            <w:tcW w:w="0" w:type="dxa"/>
            <w:vAlign w:val="bottom"/>
          </w:tcPr>
          <w:p>
            <w:pPr>
              <w:spacing w:after="0"/>
              <w:rPr>
                <w:sz w:val="1"/>
                <w:szCs w:val="1"/>
                <w:color w:val="auto"/>
              </w:rPr>
            </w:pPr>
          </w:p>
        </w:tc>
      </w:tr>
      <w:tr>
        <w:trPr>
          <w:trHeight w:val="145"/>
        </w:trPr>
        <w:tc>
          <w:tcPr>
            <w:tcW w:w="2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2"/>
                <w:szCs w:val="12"/>
                <w:color w:val="auto"/>
              </w:rPr>
            </w:pPr>
          </w:p>
        </w:tc>
        <w:tc>
          <w:tcPr>
            <w:tcW w:w="72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1"/>
              </w:rPr>
              <w:t>shares</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8"/>
              </w:rPr>
              <w:t>Accumulated 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28"/>
        </w:trPr>
        <w:tc>
          <w:tcPr>
            <w:tcW w:w="2440" w:type="dxa"/>
            <w:vAlign w:val="bottom"/>
            <w:vMerge w:val="continue"/>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28,612</w:t>
            </w:r>
          </w:p>
        </w:tc>
        <w:tc>
          <w:tcPr>
            <w:tcW w:w="240" w:type="dxa"/>
            <w:vAlign w:val="bottom"/>
          </w:tcPr>
          <w:p>
            <w:pPr>
              <w:spacing w:after="0"/>
              <w:rPr>
                <w:sz w:val="11"/>
                <w:szCs w:val="11"/>
                <w:color w:val="auto"/>
              </w:rPr>
            </w:pP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163,441</w:t>
            </w:r>
          </w:p>
        </w:tc>
        <w:tc>
          <w:tcPr>
            <w:tcW w:w="200" w:type="dxa"/>
            <w:vAlign w:val="bottom"/>
          </w:tcPr>
          <w:p>
            <w:pPr>
              <w:spacing w:after="0"/>
              <w:rPr>
                <w:sz w:val="11"/>
                <w:szCs w:val="11"/>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(5,665)</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(158,855)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(2,161)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(3,237)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(12,016)</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(12,016)</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2,077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Issuance of vested shares</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106</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Treasury shares withheld for net settlement</w:t>
            </w: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color w:val="auto"/>
              </w:rPr>
              <w:t>(28)</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(23)</w:t>
            </w:r>
          </w:p>
        </w:tc>
        <w:tc>
          <w:tcPr>
            <w:tcW w:w="540" w:type="dxa"/>
            <w:vAlign w:val="bottom"/>
          </w:tcPr>
          <w:p>
            <w:pPr>
              <w:spacing w:after="0"/>
              <w:rPr>
                <w:sz w:val="11"/>
                <w:szCs w:val="11"/>
                <w:color w:val="auto"/>
              </w:rPr>
            </w:pP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35"/>
        </w:trPr>
        <w:tc>
          <w:tcPr>
            <w:tcW w:w="244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at March 31, 2025</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28,690</w:t>
            </w:r>
          </w:p>
        </w:tc>
        <w:tc>
          <w:tcPr>
            <w:tcW w:w="240" w:type="dxa"/>
            <w:vAlign w:val="bottom"/>
          </w:tcPr>
          <w:p>
            <w:pPr>
              <w:spacing w:after="0"/>
              <w:rPr>
                <w:sz w:val="11"/>
                <w:szCs w:val="11"/>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380" w:type="dxa"/>
            <w:vAlign w:val="bottom"/>
            <w:gridSpan w:val="2"/>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165,518</w:t>
            </w:r>
          </w:p>
        </w:tc>
        <w:tc>
          <w:tcPr>
            <w:tcW w:w="360" w:type="dxa"/>
            <w:vAlign w:val="bottom"/>
            <w:gridSpan w:val="2"/>
          </w:tcPr>
          <w:p>
            <w:pPr>
              <w:jc w:val="right"/>
              <w:ind w:right="4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(5,688)</w:t>
            </w:r>
          </w:p>
        </w:tc>
        <w:tc>
          <w:tcPr>
            <w:tcW w:w="540" w:type="dxa"/>
            <w:vAlign w:val="bottom"/>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(170,871)</w:t>
            </w:r>
          </w:p>
        </w:tc>
        <w:tc>
          <w:tcPr>
            <w:tcW w:w="220" w:type="dxa"/>
            <w:vAlign w:val="bottom"/>
            <w:gridSpan w:val="2"/>
          </w:tcPr>
          <w:p>
            <w:pPr>
              <w:jc w:val="right"/>
              <w:ind w:right="2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(2,080)</w:t>
            </w:r>
          </w:p>
        </w:tc>
        <w:tc>
          <w:tcPr>
            <w:tcW w:w="220" w:type="dxa"/>
            <w:vAlign w:val="bottom"/>
            <w:gridSpan w:val="2"/>
          </w:tcPr>
          <w:p>
            <w:pPr>
              <w:jc w:val="right"/>
              <w:ind w:right="7"/>
              <w:spacing w:after="0" w:line="129"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(13,118)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-1285240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-1268095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-1285240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-1268095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-1285240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-1268095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-1285240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-1268095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-1285240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-1268095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-1285240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-1268095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-119380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-119380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-119380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-119380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-119380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-119380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(18,448)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(12,016)</w:t>
            </w: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of software and intangible assets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 for inventory excess and obsolescence</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(1,436)</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estimated credit losses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(5,270)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(756)</w:t>
            </w:r>
          </w:p>
        </w:tc>
      </w:tr>
      <w:tr>
        <w:trPr>
          <w:trHeight w:val="203"/>
        </w:trPr>
        <w:tc>
          <w:tcPr>
            <w:tcW w:w="6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taxes receivable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(2,669)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(3,486)</w:t>
            </w:r>
          </w:p>
        </w:tc>
      </w:tr>
      <w:tr>
        <w:trPr>
          <w:trHeight w:val="203"/>
        </w:trPr>
        <w:tc>
          <w:tcPr>
            <w:tcW w:w="6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(777)</w:t>
            </w:r>
          </w:p>
        </w:tc>
      </w:tr>
      <w:tr>
        <w:trPr>
          <w:trHeight w:val="203"/>
        </w:trPr>
        <w:tc>
          <w:tcPr>
            <w:tcW w:w="6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liabilities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(2,287)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shd w:val="clear" w:color="auto" w:fill="CFF0FC"/>
          </w:tcPr>
          <w:p>
            <w:pPr>
              <w:spacing w:after="0"/>
              <w:rPr>
                <w:sz w:val="17"/>
                <w:szCs w:val="17"/>
                <w:color w:val="auto"/>
              </w:rPr>
            </w:pPr>
          </w:p>
        </w:tc>
      </w:tr>
      <w:tr>
        <w:trPr>
          <w:trHeight w:val="202"/>
        </w:trPr>
        <w:tc>
          <w:tcPr>
            <w:tcW w:w="69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(4,883)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(4,237)</w:t>
            </w:r>
          </w:p>
        </w:tc>
      </w:tr>
      <w:tr>
        <w:trPr>
          <w:trHeight w:val="20"/>
        </w:trPr>
        <w:tc>
          <w:tcPr>
            <w:tcW w:w="6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(15,882)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(4,823)</w:t>
            </w:r>
          </w:p>
        </w:tc>
      </w:tr>
      <w:tr>
        <w:trPr>
          <w:trHeight w:val="196"/>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(1,532)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software</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(1,434)</w:t>
            </w:r>
          </w:p>
        </w:tc>
      </w:tr>
      <w:tr>
        <w:trPr>
          <w:trHeight w:val="196"/>
        </w:trPr>
        <w:tc>
          <w:tcPr>
            <w:tcW w:w="6900" w:type="dxa"/>
            <w:vAlign w:val="bottom"/>
            <w:tcBorders>
              <w:top w:val="single" w:sz="8" w:color="CFF0FC"/>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borrowing on revolver</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term loan</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(656)</w:t>
            </w: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Taxes paid from shares withheld</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196"/>
        </w:trPr>
        <w:tc>
          <w:tcPr>
            <w:tcW w:w="69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Pr>
          <w:p>
            <w:pPr>
              <w:spacing w:after="0"/>
              <w:rPr>
                <w:sz w:val="17"/>
                <w:szCs w:val="17"/>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7"/>
                <w:szCs w:val="17"/>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(7,117)</w:t>
            </w:r>
          </w:p>
        </w:tc>
      </w:tr>
      <w:tr>
        <w:trPr>
          <w:trHeight w:val="20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38,711</w:t>
            </w:r>
          </w:p>
        </w:tc>
        <w:tc>
          <w:tcPr>
            <w:tcW w:w="2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27,808</w:t>
            </w:r>
          </w:p>
        </w:tc>
        <w:tc>
          <w:tcPr>
            <w:tcW w:w="12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6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20" w:type="dxa"/>
            <w:vAlign w:val="bottom"/>
            <w:shd w:val="clear" w:color="auto" w:fill="CFF0FC"/>
          </w:tcPr>
          <w:p>
            <w:pPr>
              <w:spacing w:after="0"/>
              <w:rPr>
                <w:sz w:val="17"/>
                <w:szCs w:val="17"/>
                <w:color w:val="auto"/>
              </w:rPr>
            </w:pPr>
          </w:p>
        </w:tc>
      </w:tr>
      <w:tr>
        <w:trPr>
          <w:trHeight w:val="267"/>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5"/>
        </w:trPr>
        <w:tc>
          <w:tcPr>
            <w:tcW w:w="6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Increase (decrease) in property, equipment and software unpaid or accrued in liabilities</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-2485390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-2103755</wp:posOffset>
            </wp:positionV>
            <wp:extent cx="939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-2103755</wp:posOffset>
            </wp:positionV>
            <wp:extent cx="10287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-1443355</wp:posOffset>
            </wp:positionV>
            <wp:extent cx="93980" cy="170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-1443355</wp:posOffset>
            </wp:positionV>
            <wp:extent cx="102870" cy="1708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-1156970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-890905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Cambium Networks Corporation (“Cambium” or “Cambium Networks” or the “Company”), incorporated under the laws of the Cayman Islands, is a holding company whose principal operating entities are Cambium Networks, Ltd. (UK), Cambium Networks, Inc. (USA), and Cambium Networks Private Limited (India). On June 26, 2019, the Company completed an Initial Public Offering and the Company's ordinary shares began trading on the Nasdaq Global Market. Trading in the Company's ordinary shares was suspended at the open of trading on March 27, 2026. Trading in the Company's ordinary shares under the symbol "CMBMF" on the OTC Experts Market began on March 30, 2026.</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Cambium Networks Corporation and its wholly owned subsidiaries design, develop, and manufacture fixed wireless and PON/XGSPON based broadband, Wi-Fi, and local area networking ("LAN") switching infrastructure, and security gateway solutions for a wide range of applications, including broadband access, wireless backhaul, Internet of Things (IoT), public safety communication and Wi-Fi access. Cambium's products enable service providers, enterprises, industrial organizations and governments to deliver exceptional digital experiences and device connectivity, with compelling economics. The Company's ONE network platform simplifies the management of Cambium Networks' wired and wireless technologies. The Company's product lines fall into three broad, interrelated categories: Fixed Wireless and fiber Broadband ("FWB"), Enterprise Networking, and Subscriptions and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Restatement of previously issued unaudited consolidated financial statements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consolidated financial statements include the accounts of Cambium Networks Corporation and its wholly-owned subsidiaries. All intercompany balances and transactions have been eliminated. The consolidated financial statements as of March 31, 2025, and for the three-month periods ended March 31, 2024 and 2025, and the related notes are unaudited. The unaudited consolidated financial statements have been prepared on the same basis as the annual audited consolidated financial statements, and, in the opinion of management, reflect all adjustments, which comprise only normal recurring adjustments necessary to state fairly the Company’s financial position as of March 31, 2025 and results of operations for the three-month periods ended March 31, 2024 and 2025 and cash flows for the three-month periods ended March 31, 2024 and 2025. The consolidated balance sheet as of December 31, 2024 has been derived from the audited financial statements at that date.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(“U.S. GAAP”) have been condensed or omitted. The consolidated financial statements contained herein should be read in conjunction with the consolidated financial statements and related notes thereto for the year ended December 31, 2024 included in the Company’s Comprehensive Form 10-K filed with the SEC on April 7, 2026. The results of operations for the three-month period ended March 31, 2025 are not necessarily indicative of the operating results to be expected for the full year.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the accounting guidance related to the presentation of financial statements, when preparing financial statements for each annual and interim reporting period, management evaluates whether there are conditions or events that, when considered in the aggregate, raise substantial doubt about the Company’s ability to continue as a going concern within one year after the date that the financial statements are issued. In making its assessment, management considered the Company’s current financial condition and liquidity sources, including current funds available, forecasted future cash flows and conditional and unconditional obligations due over the next twelve months, as well as other factors including the markets in which the Company competes and the current customer demand for the Company’s products.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2025, the Company was not in compliance with its quarterly fixed charge coverage ratio and quarterly consolidated leverage ratio covenants. These defaults continue through the remainder of 2025 and into 2026. Such defaults afford the lender the right to declare the amounts outstanding immediately due and payable, and although the Company continues regular discussions with the lender, it has not been able to obtain a waiver of the defaults, or otherwise refinance such indebtedness. If the lender were to accelerate the maturity of the Company's indebtedness under the Amended Credit Agreement, the Company would not be able to repay the debt, and therefore, there is substantial uncertainty the Company would be able to continue as a going concern. The Company's obligations under the Amended Credit Agreement mature and become due and payable on November 17, 2026, absent acceleration by the lender. As of March 31, 2025, the Company has made all required principal and interest payment obligations under the Amended Credit Agreement. Beginning in June 2025, the Company ceased making payment of principal and interest on the term loan and payment of interest on the revolving credit facility.</w:t>
      </w:r>
    </w:p>
    <w:p>
      <w:pPr>
        <w:spacing w:after="0" w:line="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the covenant violations afford the lender the right to declare the amounts outstanding immediately due and payable, the term loan facility and the associated debt issuance costs and the revolving credit facility are classified as a current liability and the deferred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right="300"/>
        <w:spacing w:after="0" w:line="266" w:lineRule="auto"/>
        <w:rPr>
          <w:sz w:val="20"/>
          <w:szCs w:val="20"/>
          <w:color w:val="auto"/>
        </w:rPr>
      </w:pPr>
      <w:r>
        <w:rPr>
          <w:rFonts w:ascii="Times New Roman" w:cs="Times New Roman" w:eastAsia="Times New Roman" w:hAnsi="Times New Roman"/>
          <w:sz w:val="18"/>
          <w:szCs w:val="18"/>
          <w:color w:val="auto"/>
        </w:rPr>
        <w:t>debt issuance costs associated with the revolving credit facility are classified as a current asset in the accompanying consolidated balance sheets as of December 31, 2024 and March 31, 2025. Please refer to Note 7. Debt, regarding the Company’s debt outstanding under its credit facilities with Bank of America.</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continues to take actions to improve its profitability and focus on operating efficiency and reducing discretionary spending, deferring capital expenditures and implementing cost reductions to align its cost structure with current and expected revenue levels.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Based on the Company's current forecast, it is projecting future noncompliance with its financial covenants through maturity of the debt in addition to the covenant noncompliance described above. If the lender were to accelerate the maturity of the Company's indebtedness under the Amended Credit Agreement, there is substantial uncertainty that the Company would be able to secure capital resources to repay the amounts due. Due to these uncertainties and given the debt matures on November 17, 2026, management concluded that substantial doubt exists with respect to the Company's ability to continue as a going concern within one year after the date that these consolidated financial statements are issued.</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 to Significant Accounting Policies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disclosed in the 2024 Form 10-K, Part II, Item 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which requires public entities, on an annual basis, to disclose standard categories in the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additional information for reconciling items that meet a quantitative threshold and income taxes paid disaggregated by jurisdiction. ASU 2023-09 is effective for annual periods beginning after December 15, 2024. Adoption of this ASU should be applied prospectively, but may be applied retrospectively to all prior periods presented in the financial statements. The Company plans to adopt this ASU on a prospective basis during the year ended December 31, 2025. The adoption of this standard will not have a material impact on the Company's consolidated financial statements, but will result in incremental income tax disclosures.</w:t>
      </w:r>
    </w:p>
    <w:p>
      <w:pPr>
        <w:spacing w:after="0" w:line="7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Securities and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Commission's ("SEC") Disclosure Update and Simplification Initiative</w:t>
      </w:r>
      <w:r>
        <w:rPr>
          <w:rFonts w:ascii="Times New Roman" w:cs="Times New Roman" w:eastAsia="Times New Roman" w:hAnsi="Times New Roman"/>
          <w:sz w:val="18"/>
          <w:szCs w:val="18"/>
          <w:color w:val="auto"/>
        </w:rPr>
        <w:t>. The amendments in this update require modification of certain disclosure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requirements for a variety of ASU topics in response to the SEC's Release No. 33-10532. The effective date for each amended topic in the ASU is the date on which the SEC's removal of the related disclosure requirement from Regulation S-X or Regulation S-K becomes effective. However, if by June 30, 2027, the SEC has not removed the related disclosure from its regulations, the amendment will be removed from the Codification and not become effective. Early adoption is permitted. The Company is currently evaluating this ASU to determine its impact on the Company's disclosures.</w:t>
      </w:r>
    </w:p>
    <w:p>
      <w:pPr>
        <w:spacing w:after="0" w:line="7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which requires public entities to disclose within the footnotes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disaggregated information about certain income statement expense captions, including disclosure of the amounts included in each relevant expense caption. The amendment also requires that certain amounts that are already required to be disclosed under U.S. GAAP be included in the same disclosure as the other disaggregation requirements. The new guidance also requires a qualitative description of the amounts remaining in relevant expense captions that are not separately disaggregated quantitatively and disclosure of the total amount of selling expenses and, in annual reporting periods, an entity’s definition of selling expenses. ASU 2024-03 is effective for annual periods beginning after December 15, 2026 and interim periods within fiscal years beginning after December 15, 2027, with early adoption permitted. Upon adoption, this guidance should be applied prospectively, but may be applied retrospectively to all prior periods presented in the financial statements. The Company is currently evaluating the adoption of this standard on the Company's financial statement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Restatement of previously issued unaudited interim consolidated financial statements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its consolidated financial statements for the year ended December 31, 2024, the Company determined that its previously issued unaudited interim consolidated financial statements for the three-month period ended March 31, 2024 contained errors in the application of GAAP. The Company evaluated the corrections and determined that the related impacts were material to the previously filed unaudited interim consolidated financial statements and in consultation with the Audit Committee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360"/>
        <w:spacing w:after="0" w:line="282" w:lineRule="auto"/>
        <w:rPr>
          <w:sz w:val="20"/>
          <w:szCs w:val="20"/>
          <w:color w:val="auto"/>
        </w:rPr>
      </w:pPr>
      <w:r>
        <w:rPr>
          <w:rFonts w:ascii="Times New Roman" w:cs="Times New Roman" w:eastAsia="Times New Roman" w:hAnsi="Times New Roman"/>
          <w:sz w:val="18"/>
          <w:szCs w:val="18"/>
          <w:color w:val="auto"/>
        </w:rPr>
        <w:t>of the Company's Board of Directors, concluded that the unaudited consolidated financial statements for the three-month period ended March 31, 2024 should be restated to present the identified adjustments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of Restatement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three-month period ended March 31, 2024, the Company did not appropriately (i) estimate variable consideration for customer incentives,</w:t>
      </w:r>
    </w:p>
    <w:p>
      <w:pPr>
        <w:spacing w:after="0" w:line="27" w:lineRule="exact"/>
        <w:rPr>
          <w:sz w:val="20"/>
          <w:szCs w:val="20"/>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variable consideration for sales returns, (iii) estimate the allowance for credit losses, (iv) estimate excess and obsolete inventory, (v) timely</w:t>
      </w:r>
    </w:p>
    <w:p>
      <w:pPr>
        <w:spacing w:after="0" w:line="9"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 valuation allowance on deferred tax assets and (vi) reclassify certain prepayments made to suppliers and loss on supplier commitments liability as current or non-current.</w:t>
      </w:r>
    </w:p>
    <w:p>
      <w:pPr>
        <w:spacing w:after="0" w:line="7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Additionally, as part of the restatement, for the three-month period ended March 31, 2024, the Company corrected for (b) previously identified uncorrected misstatements related to out-of-period adjustments, (c) previously recorded amounts reclassifying accounts receivable credit balances and (d) classification of property and equipment transactions on the statement of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Restatement</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effects of the restatement adjustments on revenue, loss before income taxes and net loss in the consolidated statements of operations and comprehensive loss for the three-month period ended March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2024</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2"/>
          </w:tcPr>
          <w:p>
            <w:pPr>
              <w:jc w:val="center"/>
              <w:ind w:right="440"/>
              <w:spacing w:after="0" w:line="183" w:lineRule="exact"/>
              <w:rPr>
                <w:sz w:val="20"/>
                <w:szCs w:val="20"/>
                <w:color w:val="auto"/>
              </w:rPr>
            </w:pPr>
            <w:r>
              <w:rPr>
                <w:rFonts w:ascii="Times New Roman" w:cs="Times New Roman" w:eastAsia="Times New Roman" w:hAnsi="Times New Roman"/>
                <w:sz w:val="16"/>
                <w:szCs w:val="16"/>
                <w:color w:val="auto"/>
              </w:rPr>
              <w:t>(Unaudited)</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420" w:type="dxa"/>
            <w:vAlign w:val="bottom"/>
            <w:gridSpan w:val="3"/>
            <w:vMerge w:val="restart"/>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Identifier in</w:t>
            </w:r>
          </w:p>
        </w:tc>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Loss before income</w:t>
            </w: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394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5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20" w:type="dxa"/>
            <w:vAlign w:val="bottom"/>
            <w:vMerge w:val="restart"/>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60" w:type="dxa"/>
            <w:vAlign w:val="bottom"/>
            <w:vMerge w:val="restart"/>
          </w:tcPr>
          <w:p>
            <w:pPr>
              <w:spacing w:after="0"/>
              <w:rPr>
                <w:sz w:val="5"/>
                <w:szCs w:val="5"/>
                <w:color w:val="auto"/>
              </w:rPr>
            </w:pPr>
          </w:p>
        </w:tc>
        <w:tc>
          <w:tcPr>
            <w:tcW w:w="540" w:type="dxa"/>
            <w:vAlign w:val="bottom"/>
          </w:tcPr>
          <w:p>
            <w:pPr>
              <w:spacing w:after="0"/>
              <w:rPr>
                <w:sz w:val="5"/>
                <w:szCs w:val="5"/>
                <w:color w:val="auto"/>
              </w:rPr>
            </w:pPr>
          </w:p>
        </w:tc>
        <w:tc>
          <w:tcPr>
            <w:tcW w:w="13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142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(21,918)</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(26,447)</w:t>
            </w:r>
          </w:p>
        </w:tc>
        <w:tc>
          <w:tcPr>
            <w:tcW w:w="0" w:type="dxa"/>
            <w:vAlign w:val="bottom"/>
          </w:tcPr>
          <w:p>
            <w:pPr>
              <w:spacing w:after="0"/>
              <w:rPr>
                <w:sz w:val="1"/>
                <w:szCs w:val="1"/>
                <w:color w:val="auto"/>
              </w:rPr>
            </w:pPr>
          </w:p>
        </w:tc>
      </w:tr>
      <w:tr>
        <w:trPr>
          <w:trHeight w:val="216"/>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Restatement adjustments: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adjustment - customer incentives</w:t>
            </w:r>
          </w:p>
        </w:tc>
        <w:tc>
          <w:tcPr>
            <w:tcW w:w="1420" w:type="dxa"/>
            <w:vAlign w:val="bottom"/>
            <w:gridSpan w:val="3"/>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w w:val="93"/>
              </w:rPr>
              <w:t>(i)</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adjustment - sales returns</w:t>
            </w:r>
          </w:p>
        </w:tc>
        <w:tc>
          <w:tcPr>
            <w:tcW w:w="142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9"/>
              </w:rPr>
              <w:t>(ii)</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Estimate for allowance for credit losses</w:t>
            </w:r>
          </w:p>
        </w:tc>
        <w:tc>
          <w:tcPr>
            <w:tcW w:w="1420" w:type="dxa"/>
            <w:vAlign w:val="bottom"/>
            <w:gridSpan w:val="3"/>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rPr>
              <w:t>(iii)</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Estimate for excess and obsolete inventory</w:t>
            </w:r>
          </w:p>
        </w:tc>
        <w:tc>
          <w:tcPr>
            <w:tcW w:w="142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9"/>
              </w:rPr>
              <w:t>(iv)</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Estimate for excess and obsolete inventory - non-</w:t>
            </w: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standard contract</w:t>
            </w:r>
          </w:p>
        </w:tc>
        <w:tc>
          <w:tcPr>
            <w:tcW w:w="1420" w:type="dxa"/>
            <w:vAlign w:val="bottom"/>
            <w:gridSpan w:val="3"/>
            <w:shd w:val="clear" w:color="auto" w:fill="CFF0FC"/>
          </w:tcPr>
          <w:p>
            <w:pPr>
              <w:jc w:val="center"/>
              <w:ind w:right="390"/>
              <w:spacing w:after="0"/>
              <w:rPr>
                <w:sz w:val="20"/>
                <w:szCs w:val="20"/>
                <w:color w:val="auto"/>
              </w:rPr>
            </w:pPr>
            <w:r>
              <w:rPr>
                <w:rFonts w:ascii="Times New Roman" w:cs="Times New Roman" w:eastAsia="Times New Roman" w:hAnsi="Times New Roman"/>
                <w:sz w:val="18"/>
                <w:szCs w:val="18"/>
                <w:color w:val="auto"/>
                <w:w w:val="99"/>
              </w:rPr>
              <w:t>(iv)</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(1,397)</w:t>
            </w:r>
          </w:p>
        </w:tc>
        <w:tc>
          <w:tcPr>
            <w:tcW w:w="5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4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5"/>
              </w:rPr>
              <w:t>(v)</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Prior period uncorrected misstatements and out of</w:t>
            </w: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period adjustments</w:t>
            </w:r>
          </w:p>
        </w:tc>
        <w:tc>
          <w:tcPr>
            <w:tcW w:w="1420" w:type="dxa"/>
            <w:vAlign w:val="bottom"/>
            <w:gridSpan w:val="3"/>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w w:val="95"/>
              </w:rPr>
              <w:t>(b)</w:t>
            </w:r>
          </w:p>
        </w:tc>
        <w:tc>
          <w:tcPr>
            <w:tcW w:w="15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Net restatement adjustments</w:t>
            </w:r>
          </w:p>
        </w:tc>
        <w:tc>
          <w:tcPr>
            <w:tcW w:w="9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100" w:type="dxa"/>
            <w:vAlign w:val="bottom"/>
            <w:gridSpan w:val="2"/>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47,070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(16,520)</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(18,448)</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-316865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-316865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amounts are presented herein as originally reported in the previously issued financial statements for transparency and consistency. The restatement corrects these errors and reflects the appropriate adjustments.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financial statement line items impacted by the respective adjustments are labeled in the tables below based on the identifiers from the paragraph above. Below are the Company's restated consolidated statement of operations and comprehensive loss and statement of cash flows with the adjustments for the three-month period ended March 31, 2024. The consolidated statement of shareholders' equity (deficit) has been excluded from the financial statement presentation below as it was only impacted by adjustments to net loss, which is presented below in the consolidated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OTHER COMPREHENSIVE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40" w:type="dxa"/>
            <w:vAlign w:val="bottom"/>
            <w:tcBorders>
              <w:bottom w:val="single" w:sz="8" w:color="auto"/>
            </w:tcBorders>
            <w:gridSpan w:val="5"/>
          </w:tcPr>
          <w:p>
            <w:pPr>
              <w:jc w:val="right"/>
              <w:ind w:right="20"/>
              <w:spacing w:after="0" w:line="157" w:lineRule="exact"/>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60" w:type="dxa"/>
            <w:vAlign w:val="bottom"/>
          </w:tcPr>
          <w:p>
            <w:pPr>
              <w:spacing w:after="0"/>
              <w:rPr>
                <w:sz w:val="17"/>
                <w:szCs w:val="17"/>
                <w:color w:val="auto"/>
              </w:rPr>
            </w:pPr>
          </w:p>
        </w:tc>
        <w:tc>
          <w:tcPr>
            <w:tcW w:w="166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i w:val="1"/>
                <w:iCs w:val="1"/>
                <w:color w:val="auto"/>
              </w:rPr>
              <w:t>Adjustment</w:t>
            </w:r>
          </w:p>
        </w:tc>
        <w:tc>
          <w:tcPr>
            <w:tcW w:w="240" w:type="dxa"/>
            <w:vAlign w:val="bottom"/>
          </w:tcPr>
          <w:p>
            <w:pPr>
              <w:spacing w:after="0"/>
              <w:rPr>
                <w:sz w:val="17"/>
                <w:szCs w:val="17"/>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00" w:type="dxa"/>
            <w:vAlign w:val="bottom"/>
          </w:tcPr>
          <w:p>
            <w:pPr>
              <w:spacing w:after="0"/>
              <w:rPr>
                <w:sz w:val="17"/>
                <w:szCs w:val="17"/>
                <w:color w:val="auto"/>
              </w:rPr>
            </w:pPr>
          </w:p>
        </w:tc>
      </w:tr>
      <w:tr>
        <w:trPr>
          <w:trHeight w:val="142"/>
        </w:trPr>
        <w:tc>
          <w:tcPr>
            <w:tcW w:w="5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(i) (ii)</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37,445</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shd w:val="clear" w:color="auto" w:fill="CFF0FC"/>
          </w:tcPr>
          <w:p>
            <w:pPr>
              <w:spacing w:after="0"/>
              <w:rPr>
                <w:sz w:val="18"/>
                <w:szCs w:val="18"/>
                <w:color w:val="auto"/>
              </w:rPr>
            </w:pPr>
          </w:p>
        </w:tc>
      </w:tr>
      <w:tr>
        <w:trPr>
          <w:trHeight w:val="210"/>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42,337</w:t>
            </w:r>
          </w:p>
        </w:tc>
        <w:tc>
          <w:tcPr>
            <w:tcW w:w="3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100" w:type="dxa"/>
            <w:vAlign w:val="bottom"/>
            <w:tcBorders>
              <w:top w:val="single" w:sz="8" w:color="CFF0FC"/>
            </w:tcBorders>
          </w:tcPr>
          <w:p>
            <w:pPr>
              <w:spacing w:after="0"/>
              <w:rPr>
                <w:sz w:val="18"/>
                <w:szCs w:val="18"/>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 (ii) (iii) (iv)</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100" w:type="dxa"/>
            <w:vAlign w:val="bottom"/>
          </w:tcPr>
          <w:p>
            <w:pPr>
              <w:spacing w:after="0"/>
              <w:rPr>
                <w:sz w:val="18"/>
                <w:szCs w:val="18"/>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FF0FC"/>
          </w:tcPr>
          <w:p>
            <w:pPr>
              <w:spacing w:after="0"/>
              <w:rPr>
                <w:sz w:val="18"/>
                <w:szCs w:val="18"/>
                <w:color w:val="auto"/>
              </w:rPr>
            </w:pPr>
          </w:p>
        </w:tc>
      </w:tr>
      <w:tr>
        <w:trPr>
          <w:trHeight w:val="210"/>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3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tcBorders>
              <w:top w:val="single" w:sz="8" w:color="CFF0FC"/>
            </w:tcBorders>
          </w:tcPr>
          <w:p>
            <w:pPr>
              <w:spacing w:after="0"/>
              <w:rPr>
                <w:sz w:val="18"/>
                <w:szCs w:val="18"/>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(iii) (b)</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100" w:type="dxa"/>
            <w:vAlign w:val="bottom"/>
            <w:shd w:val="clear" w:color="auto" w:fill="CFF0FC"/>
          </w:tcPr>
          <w:p>
            <w:pPr>
              <w:spacing w:after="0"/>
              <w:rPr>
                <w:sz w:val="18"/>
                <w:szCs w:val="18"/>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(20,978)</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(15,580)</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(21,918)</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(16,520)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 (v)</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(26,447)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(18,448)</w:t>
            </w:r>
          </w:p>
        </w:tc>
      </w:tr>
      <w:tr>
        <w:trPr>
          <w:trHeight w:val="48"/>
        </w:trPr>
        <w:tc>
          <w:tcPr>
            <w:tcW w:w="5440" w:type="dxa"/>
            <w:vAlign w:val="bottom"/>
            <w:tcBorders>
              <w:top w:val="single" w:sz="8" w:color="CFF0FC"/>
            </w:tcBorders>
          </w:tcPr>
          <w:p>
            <w:pPr>
              <w:spacing w:after="0"/>
              <w:rPr>
                <w:sz w:val="4"/>
                <w:szCs w:val="4"/>
                <w:color w:val="auto"/>
              </w:rPr>
            </w:pPr>
          </w:p>
        </w:tc>
        <w:tc>
          <w:tcPr>
            <w:tcW w:w="200" w:type="dxa"/>
            <w:vAlign w:val="bottom"/>
            <w:tcBorders>
              <w:top w:val="single" w:sz="8" w:color="CFF0FC"/>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20" w:type="dxa"/>
            <w:vAlign w:val="bottom"/>
            <w:tcBorders>
              <w:top w:val="single" w:sz="8" w:color="CFF0FC"/>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00" w:type="dxa"/>
            <w:vAlign w:val="bottom"/>
            <w:tcBorders>
              <w:top w:val="single" w:sz="8" w:color="CFF0FC"/>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(0.95)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(0.66)</w:t>
            </w:r>
          </w:p>
        </w:tc>
      </w:tr>
      <w:tr>
        <w:trPr>
          <w:trHeight w:val="194"/>
        </w:trPr>
        <w:tc>
          <w:tcPr>
            <w:tcW w:w="54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to compute net loss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27,849,604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27,849,604</w:t>
            </w:r>
          </w:p>
        </w:tc>
        <w:tc>
          <w:tcPr>
            <w:tcW w:w="100" w:type="dxa"/>
            <w:vAlign w:val="bottom"/>
            <w:shd w:val="clear" w:color="auto" w:fill="CFF0FC"/>
          </w:tcPr>
          <w:p>
            <w:pPr>
              <w:spacing w:after="0"/>
              <w:rPr>
                <w:sz w:val="18"/>
                <w:szCs w:val="18"/>
                <w:color w:val="auto"/>
              </w:rPr>
            </w:pPr>
          </w:p>
        </w:tc>
      </w:tr>
      <w:tr>
        <w:trPr>
          <w:trHeight w:val="194"/>
        </w:trPr>
        <w:tc>
          <w:tcPr>
            <w:tcW w:w="54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27,849,604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27,849,604</w:t>
            </w:r>
          </w:p>
        </w:tc>
        <w:tc>
          <w:tcPr>
            <w:tcW w:w="100" w:type="dxa"/>
            <w:vAlign w:val="bottom"/>
          </w:tcPr>
          <w:p>
            <w:pPr>
              <w:spacing w:after="0"/>
              <w:rPr>
                <w:sz w:val="16"/>
                <w:szCs w:val="16"/>
                <w:color w:val="auto"/>
              </w:rPr>
            </w:pPr>
          </w:p>
        </w:tc>
      </w:tr>
      <w:tr>
        <w:trPr>
          <w:trHeight w:val="220"/>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(26,447)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30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(18,448)</w:t>
            </w: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4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(26,491)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(18,492)</w:t>
            </w: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-4714240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-4714240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-4148455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-4148455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-4148455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-3582670</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-3582670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-2459990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-2459990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-1610995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-1593850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-1610995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-170815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8180" w:type="dxa"/>
            <w:vAlign w:val="bottom"/>
            <w:gridSpan w:val="5"/>
          </w:tcPr>
          <w:p>
            <w:pPr>
              <w:jc w:val="center"/>
              <w:ind w:left="2871"/>
              <w:spacing w:after="0"/>
              <w:rPr>
                <w:sz w:val="20"/>
                <w:szCs w:val="20"/>
                <w:color w:val="auto"/>
              </w:rPr>
            </w:pPr>
            <w:r>
              <w:rPr>
                <w:rFonts w:ascii="Times New Roman" w:cs="Times New Roman" w:eastAsia="Times New Roman" w:hAnsi="Times New Roman"/>
                <w:sz w:val="16"/>
                <w:szCs w:val="16"/>
                <w:b w:val="1"/>
                <w:bCs w:val="1"/>
                <w:color w:val="auto"/>
              </w:rPr>
              <w:t>CAMBIUM NETWORKS CORPORATION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gridSpan w:val="5"/>
          </w:tcPr>
          <w:p>
            <w:pPr>
              <w:jc w:val="center"/>
              <w:ind w:left="2851"/>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jc w:val="center"/>
              <w:ind w:left="433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00" w:type="dxa"/>
            <w:vAlign w:val="bottom"/>
            <w:gridSpan w:val="2"/>
          </w:tcPr>
          <w:p>
            <w:pPr>
              <w:jc w:val="center"/>
              <w:ind w:left="43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Pr>
          <w:p>
            <w:pPr>
              <w:spacing w:after="0"/>
              <w:rPr>
                <w:sz w:val="18"/>
                <w:szCs w:val="18"/>
                <w:color w:val="auto"/>
              </w:rPr>
            </w:pPr>
          </w:p>
        </w:tc>
        <w:tc>
          <w:tcPr>
            <w:tcW w:w="4400" w:type="dxa"/>
            <w:vAlign w:val="bottom"/>
            <w:gridSpan w:val="9"/>
            <w:vMerge w:val="restart"/>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0" w:type="dxa"/>
            <w:vAlign w:val="bottom"/>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i w:val="1"/>
                <w:iCs w:val="1"/>
                <w:color w:val="auto"/>
              </w:rPr>
              <w:t>Adjustment</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 (ii) (iii) (iv) (v) (b)</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software and intangible assets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income taxes (v)</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inventory excess and obsolescence (iv)</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 for estimated credit losses (iii)</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Receivables (i) (iii) (c)</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(vi)</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(6,161)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taxes receivable (b)</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 (b)</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employee compensation (b)</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liabilities (i) (b) (c)</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assets and liabilities (ii) (v) (vi)</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(4,764)</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(15,647)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(15,882)</w:t>
            </w:r>
          </w:p>
        </w:tc>
        <w:tc>
          <w:tcPr>
            <w:tcW w:w="0" w:type="dxa"/>
            <w:vAlign w:val="bottom"/>
          </w:tcPr>
          <w:p>
            <w:pPr>
              <w:spacing w:after="0"/>
              <w:rPr>
                <w:sz w:val="1"/>
                <w:szCs w:val="1"/>
                <w:color w:val="auto"/>
              </w:rPr>
            </w:pPr>
          </w:p>
        </w:tc>
      </w:tr>
      <w:tr>
        <w:trPr>
          <w:trHeight w:val="425"/>
        </w:trPr>
        <w:tc>
          <w:tcPr>
            <w:tcW w:w="67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(c)</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Purchases of software</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0"/>
        </w:trPr>
        <w:tc>
          <w:tcPr>
            <w:tcW w:w="6700" w:type="dxa"/>
            <w:vAlign w:val="bottom"/>
            <w:tcBorders>
              <w:top w:val="single" w:sz="8" w:color="CFF0FC"/>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revolver debt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term loan</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Taxes paid from shares withheld</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67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38,711</w:t>
            </w:r>
          </w:p>
        </w:tc>
        <w:tc>
          <w:tcPr>
            <w:tcW w:w="2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Increase in property, equipment and software unpaid or accrued in liabilities (c)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4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-4011295</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-4011295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-3466465</wp:posOffset>
            </wp:positionV>
            <wp:extent cx="10223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-3466465</wp:posOffset>
            </wp:positionV>
            <wp:extent cx="9398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-2626360</wp:posOffset>
            </wp:positionV>
            <wp:extent cx="10223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-2626360</wp:posOffset>
            </wp:positionV>
            <wp:extent cx="939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-2626360</wp:posOffset>
            </wp:positionV>
            <wp:extent cx="939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-2322195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-2322195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-2039620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5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60,657</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inventory</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64,976</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Excess and obsolescence reserve</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(29,430)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(27,435)</w:t>
            </w: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-462280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-462280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Inventory reserves are established for estimated excess and obsolete inventory equal to the difference between the cost of the inventory and the estimated net realizable value of the inventory based on historical usage, known trends, and market conditions and judgment about the anticipated future consumption and our ability to sell the inventory. At December 31, 2024 and March 31, 2025, excess and obsolescence reserves were $29.4 million and $27.4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55"/>
        </w:trPr>
        <w:tc>
          <w:tcPr>
            <w:tcW w:w="5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56"/>
              <w:spacing w:after="0" w:line="155" w:lineRule="exact"/>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3"/>
                <w:szCs w:val="13"/>
                <w:color w:val="auto"/>
              </w:rPr>
            </w:pPr>
          </w:p>
        </w:tc>
      </w:tr>
      <w:tr>
        <w:trPr>
          <w:trHeight w:val="216"/>
        </w:trPr>
        <w:tc>
          <w:tcPr>
            <w:tcW w:w="596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goods and services</w:t>
            </w:r>
          </w:p>
        </w:tc>
        <w:tc>
          <w:tcPr>
            <w:tcW w:w="1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42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shd w:val="clear" w:color="auto" w:fill="CC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loss on supplier commitments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r>
      <w:tr>
        <w:trPr>
          <w:trHeight w:val="216"/>
        </w:trPr>
        <w:tc>
          <w:tcPr>
            <w:tcW w:w="596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80" w:type="dxa"/>
            <w:vAlign w:val="bottom"/>
            <w:shd w:val="clear" w:color="auto" w:fill="CCF0FC"/>
          </w:tcPr>
          <w:p>
            <w:pPr>
              <w:spacing w:after="0"/>
              <w:rPr>
                <w:sz w:val="18"/>
                <w:szCs w:val="18"/>
                <w:color w:val="auto"/>
              </w:rPr>
            </w:pPr>
          </w:p>
        </w:tc>
        <w:tc>
          <w:tcPr>
            <w:tcW w:w="11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20" w:type="dxa"/>
            <w:vAlign w:val="bottom"/>
            <w:shd w:val="clear" w:color="auto" w:fill="CCF0FC"/>
          </w:tcPr>
          <w:p>
            <w:pPr>
              <w:spacing w:after="0"/>
              <w:rPr>
                <w:sz w:val="18"/>
                <w:szCs w:val="18"/>
                <w:color w:val="auto"/>
              </w:rPr>
            </w:pPr>
          </w:p>
        </w:tc>
        <w:tc>
          <w:tcPr>
            <w:tcW w:w="200" w:type="dxa"/>
            <w:vAlign w:val="bottom"/>
            <w:shd w:val="clear" w:color="auto" w:fill="CCF0FC"/>
          </w:tcPr>
          <w:p>
            <w:pPr>
              <w:spacing w:after="0"/>
              <w:rPr>
                <w:sz w:val="18"/>
                <w:szCs w:val="18"/>
                <w:color w:val="auto"/>
              </w:rPr>
            </w:pPr>
          </w:p>
        </w:tc>
        <w:tc>
          <w:tcPr>
            <w:tcW w:w="11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customer reserves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F0FC"/>
            </w:tcBorders>
            <w:shd w:val="clear" w:color="auto" w:fill="CC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F0FC"/>
          </w:tcPr>
          <w:p>
            <w:pPr>
              <w:spacing w:after="0"/>
              <w:rPr>
                <w:sz w:val="18"/>
                <w:szCs w:val="18"/>
                <w:color w:val="auto"/>
              </w:rPr>
            </w:pPr>
          </w:p>
        </w:tc>
        <w:tc>
          <w:tcPr>
            <w:tcW w:w="118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Borders>
              <w:bottom w:val="single" w:sz="8" w:color="CCF0FC"/>
            </w:tcBorders>
            <w:shd w:val="clear" w:color="auto" w:fill="CCF0FC"/>
          </w:tcPr>
          <w:p>
            <w:pPr>
              <w:spacing w:after="0"/>
              <w:rPr>
                <w:sz w:val="18"/>
                <w:szCs w:val="18"/>
                <w:color w:val="auto"/>
              </w:rPr>
            </w:pPr>
          </w:p>
        </w:tc>
        <w:tc>
          <w:tcPr>
            <w:tcW w:w="200" w:type="dxa"/>
            <w:vAlign w:val="bottom"/>
            <w:tcBorders>
              <w:bottom w:val="single" w:sz="8" w:color="auto"/>
            </w:tcBorders>
            <w:shd w:val="clear" w:color="auto" w:fill="CCF0FC"/>
          </w:tcPr>
          <w:p>
            <w:pPr>
              <w:spacing w:after="0"/>
              <w:rPr>
                <w:sz w:val="18"/>
                <w:szCs w:val="18"/>
                <w:color w:val="auto"/>
              </w:rPr>
            </w:pPr>
          </w:p>
        </w:tc>
        <w:tc>
          <w:tcPr>
            <w:tcW w:w="114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F0FC"/>
            </w:tcBorders>
            <w:shd w:val="clear" w:color="auto" w:fill="CCF0FC"/>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-170815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warranty</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Provisions for warranty claims are primarily related to our hardware products and are recorded at the time products are sold. The change to accrued warranty was as follows (in thousands):</w:t>
      </w:r>
    </w:p>
    <w:p>
      <w:pPr>
        <w:sectPr>
          <w:pgSz w:w="11900" w:h="16838" w:orient="portrait"/>
          <w:cols w:equalWidth="0" w:num="1">
            <w:col w:w="11120"/>
          </w:cols>
          <w:pgMar w:left="320" w:top="130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Costs to service warranty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Provision (decrease) increase, net</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5"/>
                <w:szCs w:val="15"/>
                <w:color w:val="auto"/>
              </w:rPr>
            </w:pPr>
          </w:p>
        </w:tc>
      </w:tr>
      <w:tr>
        <w:trPr>
          <w:trHeight w:val="124"/>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5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60" w:type="dxa"/>
            <w:vAlign w:val="bottom"/>
          </w:tcPr>
          <w:p>
            <w:pPr>
              <w:spacing w:after="0"/>
              <w:rPr>
                <w:sz w:val="10"/>
                <w:szCs w:val="10"/>
                <w:color w:val="auto"/>
              </w:rPr>
            </w:pPr>
          </w:p>
        </w:tc>
      </w:tr>
      <w:tr>
        <w:trPr>
          <w:trHeight w:val="216"/>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18"/>
                <w:szCs w:val="18"/>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-582295</wp:posOffset>
            </wp:positionV>
            <wp:extent cx="570039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-3782695</wp:posOffset>
            </wp:positionH>
            <wp:positionV relativeFrom="paragraph">
              <wp:posOffset>-307975</wp:posOffset>
            </wp:positionV>
            <wp:extent cx="570039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020"/>
          </w:cols>
          <w:pgMar w:left="320" w:top="1305" w:right="459" w:bottom="1440" w:gutter="0" w:footer="0" w:header="0"/>
          <w:type w:val="continuous"/>
        </w:sectPr>
      </w:pPr>
    </w:p>
    <w:p>
      <w:pPr>
        <w:spacing w:after="0" w:line="6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$1.3 million is included in Other current liabilities and $0.1 million is included in Other noncurrent liabilities on the Company's consolidated balance sheets. At March 31, 2025, $1.5 million is included in Other current liabilities and $0.1 million is included in Other noncurrent liabilities on the Company’s consolidated balance sheets.</w:t>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5"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Other noncurrent liabilities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360"/>
              <w:spacing w:after="0" w:line="155"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80" w:type="dxa"/>
            <w:vAlign w:val="bottom"/>
            <w:gridSpan w:val="2"/>
            <w:shd w:val="clear" w:color="auto" w:fill="CCF0FC"/>
          </w:tcPr>
          <w:p>
            <w:pPr>
              <w:spacing w:after="0"/>
              <w:rPr>
                <w:sz w:val="20"/>
                <w:szCs w:val="20"/>
                <w:color w:val="auto"/>
              </w:rPr>
            </w:pPr>
            <w:r>
              <w:rPr>
                <w:rFonts w:ascii="Times New Roman" w:cs="Times New Roman" w:eastAsia="Times New Roman" w:hAnsi="Times New Roman"/>
                <w:sz w:val="18"/>
                <w:szCs w:val="18"/>
                <w:color w:val="auto"/>
              </w:rPr>
              <w:t>Accrued loss on supplier commitments</w:t>
            </w:r>
          </w:p>
        </w:tc>
        <w:tc>
          <w:tcPr>
            <w:tcW w:w="1140" w:type="dxa"/>
            <w:vAlign w:val="bottom"/>
            <w:gridSpan w:val="2"/>
            <w:shd w:val="clear" w:color="auto" w:fill="CC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0FC"/>
          </w:tcPr>
          <w:p>
            <w:pPr>
              <w:spacing w:after="0"/>
              <w:rPr>
                <w:sz w:val="18"/>
                <w:szCs w:val="18"/>
                <w:color w:val="auto"/>
              </w:rPr>
            </w:pPr>
          </w:p>
        </w:tc>
        <w:tc>
          <w:tcPr>
            <w:tcW w:w="200" w:type="dxa"/>
            <w:vAlign w:val="bottom"/>
            <w:tcBorders>
              <w:right w:val="single" w:sz="8" w:color="CCF0FC"/>
            </w:tcBorders>
            <w:shd w:val="clear" w:color="auto" w:fill="CCF0FC"/>
          </w:tcPr>
          <w:p>
            <w:pPr>
              <w:spacing w:after="0"/>
              <w:rPr>
                <w:sz w:val="18"/>
                <w:szCs w:val="18"/>
                <w:color w:val="auto"/>
              </w:rPr>
            </w:pPr>
          </w:p>
        </w:tc>
        <w:tc>
          <w:tcPr>
            <w:tcW w:w="100" w:type="dxa"/>
            <w:vAlign w:val="bottom"/>
            <w:shd w:val="clear" w:color="auto" w:fill="CCF0FC"/>
          </w:tcPr>
          <w:p>
            <w:pPr>
              <w:spacing w:after="0"/>
              <w:rPr>
                <w:sz w:val="18"/>
                <w:szCs w:val="18"/>
                <w:color w:val="auto"/>
              </w:rPr>
            </w:pPr>
          </w:p>
        </w:tc>
        <w:tc>
          <w:tcPr>
            <w:tcW w:w="9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240" w:type="dxa"/>
            <w:vAlign w:val="bottom"/>
            <w:tcBorders>
              <w:right w:val="single" w:sz="8" w:color="CCF0FC"/>
            </w:tcBorders>
            <w:shd w:val="clear" w:color="auto" w:fill="CCF0FC"/>
          </w:tcPr>
          <w:p>
            <w:pPr>
              <w:spacing w:after="0"/>
              <w:rPr>
                <w:sz w:val="18"/>
                <w:szCs w:val="18"/>
                <w:color w:val="auto"/>
              </w:rPr>
            </w:pPr>
          </w:p>
        </w:tc>
        <w:tc>
          <w:tcPr>
            <w:tcW w:w="200" w:type="dxa"/>
            <w:vAlign w:val="bottom"/>
            <w:shd w:val="clear" w:color="auto" w:fill="CC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F0FC"/>
          </w:tcPr>
          <w:p>
            <w:pPr>
              <w:spacing w:after="0"/>
              <w:rPr>
                <w:sz w:val="18"/>
                <w:szCs w:val="18"/>
                <w:color w:val="auto"/>
              </w:rPr>
            </w:pPr>
          </w:p>
        </w:tc>
        <w:tc>
          <w:tcPr>
            <w:tcW w:w="1220" w:type="dxa"/>
            <w:vAlign w:val="bottom"/>
            <w:gridSpan w:val="3"/>
            <w:shd w:val="clear" w:color="auto" w:fill="CCF0FC"/>
          </w:tcPr>
          <w:p>
            <w:pPr>
              <w:jc w:val="right"/>
              <w:ind w:right="20"/>
              <w:spacing w:after="0"/>
              <w:rPr>
                <w:sz w:val="20"/>
                <w:szCs w:val="20"/>
                <w:color w:val="auto"/>
              </w:rPr>
            </w:pPr>
            <w:r>
              <w:rPr>
                <w:rFonts w:ascii="Times New Roman" w:cs="Times New Roman" w:eastAsia="Times New Roman" w:hAnsi="Times New Roman"/>
                <w:sz w:val="18"/>
                <w:szCs w:val="18"/>
                <w:color w:val="auto"/>
              </w:rPr>
              <w:t>14,621</w:t>
            </w:r>
          </w:p>
        </w:tc>
        <w:tc>
          <w:tcPr>
            <w:tcW w:w="80" w:type="dxa"/>
            <w:vAlign w:val="bottom"/>
            <w:shd w:val="clear" w:color="auto" w:fill="CC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80" w:type="dxa"/>
            <w:vAlign w:val="bottom"/>
            <w:tcBorders>
              <w:bottom w:val="single" w:sz="8" w:color="CCF0FC"/>
            </w:tcBorders>
            <w:gridSpan w:val="2"/>
            <w:shd w:val="clear" w:color="auto" w:fill="CC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20" w:type="dxa"/>
            <w:vAlign w:val="bottom"/>
            <w:tcBorders>
              <w:bottom w:val="single" w:sz="8" w:color="CCF0FC"/>
            </w:tcBorders>
            <w:shd w:val="clear" w:color="auto" w:fill="CCF0FC"/>
          </w:tcPr>
          <w:p>
            <w:pPr>
              <w:spacing w:after="0"/>
              <w:rPr>
                <w:sz w:val="18"/>
                <w:szCs w:val="18"/>
                <w:color w:val="auto"/>
              </w:rPr>
            </w:pPr>
          </w:p>
        </w:tc>
        <w:tc>
          <w:tcPr>
            <w:tcW w:w="320" w:type="dxa"/>
            <w:vAlign w:val="bottom"/>
            <w:tcBorders>
              <w:bottom w:val="single" w:sz="8" w:color="auto"/>
            </w:tcBorders>
            <w:shd w:val="clear" w:color="auto" w:fill="CCF0FC"/>
          </w:tcPr>
          <w:p>
            <w:pPr>
              <w:spacing w:after="0"/>
              <w:rPr>
                <w:sz w:val="18"/>
                <w:szCs w:val="18"/>
                <w:color w:val="auto"/>
              </w:rPr>
            </w:pPr>
          </w:p>
        </w:tc>
        <w:tc>
          <w:tcPr>
            <w:tcW w:w="100" w:type="dxa"/>
            <w:vAlign w:val="bottom"/>
            <w:tcBorders>
              <w:bottom w:val="single" w:sz="8" w:color="auto"/>
            </w:tcBorders>
            <w:shd w:val="clear" w:color="auto" w:fill="CCF0FC"/>
          </w:tcPr>
          <w:p>
            <w:pPr>
              <w:spacing w:after="0"/>
              <w:rPr>
                <w:sz w:val="18"/>
                <w:szCs w:val="18"/>
                <w:color w:val="auto"/>
              </w:rPr>
            </w:pPr>
          </w:p>
        </w:tc>
        <w:tc>
          <w:tcPr>
            <w:tcW w:w="200" w:type="dxa"/>
            <w:vAlign w:val="bottom"/>
            <w:tcBorders>
              <w:bottom w:val="single" w:sz="8" w:color="auto"/>
              <w:right w:val="single" w:sz="8" w:color="CCF0FC"/>
            </w:tcBorders>
            <w:shd w:val="clear" w:color="auto" w:fill="CCF0FC"/>
          </w:tcPr>
          <w:p>
            <w:pPr>
              <w:spacing w:after="0"/>
              <w:rPr>
                <w:sz w:val="18"/>
                <w:szCs w:val="18"/>
                <w:color w:val="auto"/>
              </w:rPr>
            </w:pPr>
          </w:p>
        </w:tc>
        <w:tc>
          <w:tcPr>
            <w:tcW w:w="100" w:type="dxa"/>
            <w:vAlign w:val="bottom"/>
            <w:tcBorders>
              <w:bottom w:val="single" w:sz="8" w:color="auto"/>
            </w:tcBorders>
            <w:shd w:val="clear" w:color="auto" w:fill="CCF0FC"/>
          </w:tcPr>
          <w:p>
            <w:pPr>
              <w:spacing w:after="0"/>
              <w:rPr>
                <w:sz w:val="18"/>
                <w:szCs w:val="18"/>
                <w:color w:val="auto"/>
              </w:rPr>
            </w:pPr>
          </w:p>
        </w:tc>
        <w:tc>
          <w:tcPr>
            <w:tcW w:w="9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tcBorders>
              <w:bottom w:val="single" w:sz="8" w:color="CCF0FC"/>
              <w:right w:val="single" w:sz="8" w:color="CCF0FC"/>
            </w:tcBorders>
            <w:shd w:val="clear" w:color="auto" w:fill="CCF0FC"/>
          </w:tcPr>
          <w:p>
            <w:pPr>
              <w:spacing w:after="0"/>
              <w:rPr>
                <w:sz w:val="18"/>
                <w:szCs w:val="18"/>
                <w:color w:val="auto"/>
              </w:rPr>
            </w:pPr>
          </w:p>
        </w:tc>
        <w:tc>
          <w:tcPr>
            <w:tcW w:w="200" w:type="dxa"/>
            <w:vAlign w:val="bottom"/>
            <w:tcBorders>
              <w:bottom w:val="single" w:sz="8" w:color="auto"/>
            </w:tcBorders>
            <w:shd w:val="clear" w:color="auto" w:fill="CCF0FC"/>
          </w:tcPr>
          <w:p>
            <w:pPr>
              <w:spacing w:after="0"/>
              <w:rPr>
                <w:sz w:val="18"/>
                <w:szCs w:val="18"/>
                <w:color w:val="auto"/>
              </w:rPr>
            </w:pPr>
          </w:p>
        </w:tc>
        <w:tc>
          <w:tcPr>
            <w:tcW w:w="160" w:type="dxa"/>
            <w:vAlign w:val="bottom"/>
            <w:tcBorders>
              <w:bottom w:val="single" w:sz="8" w:color="auto"/>
            </w:tcBorders>
            <w:shd w:val="clear" w:color="auto" w:fill="CCF0FC"/>
          </w:tcPr>
          <w:p>
            <w:pPr>
              <w:spacing w:after="0"/>
              <w:rPr>
                <w:sz w:val="18"/>
                <w:szCs w:val="18"/>
                <w:color w:val="auto"/>
              </w:rPr>
            </w:pPr>
          </w:p>
        </w:tc>
        <w:tc>
          <w:tcPr>
            <w:tcW w:w="1220" w:type="dxa"/>
            <w:vAlign w:val="bottom"/>
            <w:tcBorders>
              <w:bottom w:val="single" w:sz="8" w:color="auto"/>
            </w:tcBorders>
            <w:gridSpan w:val="3"/>
            <w:shd w:val="clear" w:color="auto" w:fill="CCF0FC"/>
          </w:tcPr>
          <w:p>
            <w:pPr>
              <w:jc w:val="right"/>
              <w:ind w:right="20"/>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tcBorders>
              <w:bottom w:val="single" w:sz="8" w:color="CCF0FC"/>
            </w:tcBorders>
            <w:shd w:val="clear" w:color="auto" w:fill="CC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60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3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tooling</w:t>
            </w:r>
          </w:p>
        </w:tc>
        <w:tc>
          <w:tcPr>
            <w:tcW w:w="1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4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37,036</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 to 10 years</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 to 13 years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w:t>
            </w: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49,027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Impairment</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-2545080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-2545080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-453390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depreciation expense was $1.1 million and $0.1 million for the three-month periods ended March 31, 2024 and 2025, respectively.</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impairment triggers identified during the year ended December 31, 2024, the Company completed a quantitative assessment of the Company's long-lived assets for recoverability. Based on the quantitative assessment performed, management concluded that the assets were not recoverable. The Company completed a full review of its assets using the cost approach, considering economic obsolescence, and recorded an impairment charge of $8.8 million, consisting of $4.9 million for equipment and tooling, $3.2 million for leasehold improvements, $0.6 million for computer equipment and $0.1 million for furniture and fixtures. As of March 31, 2025, the asset costs reflect the impact of the impairment recorded in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Software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Software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0"/>
                <w:szCs w:val="10"/>
                <w:color w:val="auto"/>
              </w:rPr>
            </w:pPr>
          </w:p>
        </w:tc>
        <w:tc>
          <w:tcPr>
            <w:tcW w:w="12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color w:val="auto"/>
              </w:rPr>
              <w:t>(unaudited)</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2"/>
                <w:szCs w:val="12"/>
                <w:color w:val="auto"/>
              </w:rPr>
            </w:pPr>
          </w:p>
        </w:tc>
        <w:tc>
          <w:tcPr>
            <w:tcW w:w="8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Net balance</w:t>
            </w: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balance</w:t>
            </w: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Acquired software and</w:t>
            </w: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for internal</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w:t>
            </w:r>
          </w:p>
        </w:tc>
        <w:tc>
          <w:tcPr>
            <w:tcW w:w="12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3 to 7 years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4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(16,104)</w:t>
            </w:r>
          </w:p>
        </w:tc>
        <w:tc>
          <w:tcPr>
            <w:tcW w:w="48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Software marketed for</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(10,569)</w:t>
            </w:r>
          </w:p>
        </w:tc>
        <w:tc>
          <w:tcPr>
            <w:tcW w:w="480" w:type="dxa"/>
            <w:vAlign w:val="bottom"/>
          </w:tcPr>
          <w:p>
            <w:pPr>
              <w:spacing w:after="0"/>
              <w:rPr>
                <w:sz w:val="17"/>
                <w:szCs w:val="17"/>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external sale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3 years</w:t>
            </w: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39,732</w:t>
            </w:r>
          </w:p>
        </w:tc>
        <w:tc>
          <w:tcPr>
            <w:tcW w:w="4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(26,673)</w:t>
            </w:r>
          </w:p>
        </w:tc>
        <w:tc>
          <w:tcPr>
            <w:tcW w:w="48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(27,582)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86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-933450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-916305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-933450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-916305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-933450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-916305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-933450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-916305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-933450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-916305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-933450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-916305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5" w:name="page16"/>
    <w:bookmarkEnd w:id="15"/>
    <w:p>
      <w:pPr>
        <w:ind w:firstLine="509"/>
        <w:spacing w:after="0" w:line="261" w:lineRule="auto"/>
        <w:rPr>
          <w:sz w:val="20"/>
          <w:szCs w:val="20"/>
          <w:color w:val="auto"/>
        </w:rPr>
      </w:pPr>
      <w:r>
        <w:rPr>
          <w:rFonts w:ascii="Times New Roman" w:cs="Times New Roman" w:eastAsia="Times New Roman" w:hAnsi="Times New Roman"/>
          <w:sz w:val="18"/>
          <w:szCs w:val="18"/>
          <w:color w:val="auto"/>
        </w:rPr>
        <w:t>Amortization of acquired software and software for internal use is computed using the straight-line method over an estimated useful life of generally three to seven years. Amortization expense recognized on acquired software and software for internal use is reflected in Depreciation and amortization expense in the consolidated statements of operations and comprehensive loss. Amortization expense was $0.1 million and $20 thousand for the three-month periods ended March 31, 2024 and 2025, respectively.</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software to be sold or marketed externally was $0.9 million for the three-month periods ended March 31, 2024 and 2025, and is included in cost of revenues in the consolidated statements of operations and comprehensive loss.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impairment triggers identified during the year ended December 31, 2024, the Company completed a quantitative assessment on the Company's long-lived assets for recoverability. Based on quantitative assessment performed, management concluded that certain assets were not recoverable and recorded an impairment charge of $0.5 million against its software for internal use. As of March 31, 2025, the gross carrying amount of acquired software and software for internal use reflects the impact of the impairment.</w:t>
      </w:r>
    </w:p>
    <w:p>
      <w:pPr>
        <w:spacing w:after="0" w:line="7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the Company completed the net realizable value test on its software marketed for external sale and identified one product where the net realizable value was below the unamortized capitalized costs of that product and recognized a $0.6 million impairment. As of March 31, 2025, the gross carrying amount of the software marketed for external sale reflects the impact of the impairment recognized.</w:t>
      </w:r>
    </w:p>
    <w:p>
      <w:pPr>
        <w:spacing w:after="0" w:line="6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Based on capitalized software assets at March 31, 2025, estimated amortization expense in future fiscal years is as follows (unaudited and in thousands):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software 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Software for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marketed for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internal use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external sale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(April - December)</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change in the carrying amount of goodwill or intangible assets during the three-month period ended March 31, 2025 (unaudited).</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tests goodwill for impairment annually on December 31 and more frequently if an event occurs or circumstances change that would more likely than not reduce the fair value of a reporting unit or asset group below its carrying amount and tests intangible assets if an indicator suggests that the carrying amount may not be recoverable.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Accordingly, the Company completes a quarterly qualitative triggering events assessment which considers significant events and circumstances such as a reporting unit’s historical and current results, assumptions regarding future performance, operating income or cash flows, strategic initiatives and overall economic factors, including significant negative industry or economic trends and macro-economic developments, and sustained declines in the Company's share price or market capitalization, considered in both absolute terms and relative to peers, to determine whether any of these may indicate that it is more likely than not that the fair value of the reporting unit is less than its carrying value.</w:t>
      </w:r>
    </w:p>
    <w:p>
      <w:pPr>
        <w:spacing w:after="0" w:line="7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March 31, 2025, the Company's single reporting unit had a negative carrying value and no further impairment of goodwill was recorded.</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completed an assessment of the customer relationship intangible and determined that the fair value of its customer relationship intangible was negative and the entire value was impaired, resulting in an full impairment loss of $6.6 million.</w:t>
      </w:r>
    </w:p>
    <w:p>
      <w:pPr>
        <w:spacing w:after="0" w:line="54"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Intangible assets amortization expense was $0.4 million for the three-month period ended March 31, 2024. As the customer relationship intangible asset was fully impaired as of December 31, 2024, there was no amortization expense for the three-month period ended March 31, 2025 (unaudited).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$22.1 million outstanding under its term loan facility and $45.0 million outstanding under its revolving credit facility. As of March 31, 2025, the Company had no availability left under its revolving credit facility (unaudited).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breakdown of the term loan and revolving credit facilities at December 31, 2024 and March 31, 2025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issuance costs on term loan facility</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09"/>
        </w:trPr>
        <w:tc>
          <w:tcPr>
            <w:tcW w:w="20" w:type="dxa"/>
            <w:vAlign w:val="bottom"/>
          </w:tcPr>
          <w:p>
            <w:pPr>
              <w:spacing w:after="0"/>
              <w:rPr>
                <w:sz w:val="18"/>
                <w:szCs w:val="18"/>
                <w:color w:val="auto"/>
              </w:rPr>
            </w:pPr>
          </w:p>
        </w:tc>
        <w:tc>
          <w:tcPr>
            <w:tcW w:w="4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debt, net</w:t>
            </w: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66,965</w:t>
            </w:r>
          </w:p>
        </w:tc>
        <w:tc>
          <w:tcPr>
            <w:tcW w:w="80" w:type="dxa"/>
            <w:vAlign w:val="bottom"/>
            <w:tcBorders>
              <w:top w:val="single" w:sz="8" w:color="CFF0FC"/>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(67,639)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(66,965)</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-462280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-462280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effective interest rate on the term loan facility was 10.24%. As of March 31, 2025, the effective interest rate on the term loan facility was 10.24% (unaudited).</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weighted-average interest rate for borrowings outstanding under the revolving credit facility was 8.73%. As of March 31, 2025, the weighted-average interest rate for borrowings outstanding under the revolving credit facility was 8.98% (unaudited).</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interest charged on the term loan facility and the revolving credit facility, as a result of the covenant violation, the bank converted the term loan and revolving credit facilities to Base Rate loans on the default date and has imposed an additional 2% interest penalty on all outstanding amounts until the events of default are cured.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Company has made all required quarterly principal and interest payments.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maturity date of the Term Facility and the Revolving Facility, with all amounts outstanding, becoming due and payable in full, is November 17, 2026 (the “Maturity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covenants and violations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Amended Credit Agreement is subject to financial covenants, including covenants which require the Company to meet key financial ratios and customary affirmative and negative covenants. As of March 31, 2025, the Company was not in compliance with its quarterly consolidated fixed charge coverage ratio and consolidated leverage ratio covenants. These events of default afford Bank of America the right to declare the amounts immediately due and payable on the outstanding term loan principal amount of $22.1 million and the outstanding revolving credit facility amount of $45.0 million. Although the Company continues regular discussions with the lender to address its noncompliance of the covenants, it has been unable to obtain a waiver of the defaults from the lender, or otherwise refinance the indebtedness. There can be no assurances that the lender will provide a waiver and could declare the Company in default and accelerate all amounts due under the term loan facility and the revolving credit facility.</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term loan facility and revolving credit facility mature on November 17, 2026, however, the covenant violation gives the bank the right to require immediate payment of the outstanding amounts. Accordingly, the entire $22.1 million outstanding on the term loan facility and the $45.0 million outstanding under the revolving credit facility are classified as current and included in Current portion of long-term debt, net on the consolidated balance sheet as of March 31, 2025. Further, the $0.2 million of unamortized debt issuance costs associated with the term loan facility are classified as current and included in Current portion of long-term debt, net and $0.3 million of unamortized debt issuance costs associated with the revolving credit facility are classified as current and included in Other current assets on the consolidated balance sheet as of March 31, 2025. If the bank requires immediate repayment of the outstanding term loan facility and revolving credit facility, the Company would be required to write-off these unamortized debt issuance costs upon extinguishment of the debt (unaudited).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Net interest expense, including bank charges and amortization of debt issuance costs on the debt, was $0.9 million and $2.0 million for the three-month periods ended March 31, 2024 and 2025, respectively (unaudited). The increase in interest expense is mostly due to the increase in the interest rate and applicable margin on the term loan facility, the addition of interest expense on the revolving credit facility and the additional 2% penalty being assessed by the lender while the Company is in default.</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8. Employee benefit plans</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employee benefit plans currently consist of a defined contribution plan in the United States and a separate defined contribution plan in the UK. The Company does not offer any other elective postretirement benefit plans, such as retiree medical and dental benefits or deferred compensation agreements to its employees or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plan</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regular, full-time employees are eligible to participate in the Cambium Networks, Inc. 401(k) Plan, which is a qualified defined contribution plan under section 401(k) of the Internal Revenue Service Code. Under the Cambium Networks, Inc. 401(k) Plan, the Company contributes a dollar-for-dollar match of the first 4% an employee contributes to the plan. Employees are eligible to participate on the first day of the month following their date of hire and begin receiving company contributions three months after they become eligible to participate in the plan. Company matching contributions are made each pay period, but the funds to not vest until the employee's second anniversary of employment with the Company. Employees are always fully vested in their own contributions. All contributions, including the Company match, are made in cash and invested in accordance with the participants' investment elections. Contributions made by the Company under the Cambium Networks, Inc. 401(k) Plan were $0.2 million and $0.3 million for the three-month periods ended March 31, 2024 and 2025, respectively (unaudited).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plan</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Regular, full-time UK employees are eligible to participate in the Cambium Networks Ltd. Stakeholder Pension Scheme, which is a qualified defined contribution plan. Employees are eligible to participate on the first of the month following receipt of their enrollment form, and eligible employees are automatically enrolled in the plan at a default employee contribution rate of 3% and a company contribution rate of 5% of the employee’s basic salary. The Company contribution rate increases by 1% for each additional 1% that the employee contributes up to a maximum of 7%. Company matching contributions vest immediately and employees are always vested in their own contributions. All contributions, including the Company match, are made in cash and deposited in the participant’s account each pay period. The total contributed by the Company under this plan was $0.1 million and $0.1 million for the three-month periods ended March 31, 2024 and 2025, respectively (unaudited).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Share incentive plan</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June 2019, the Company’s Board of Directors adopted, and its shareholders approved, the 2019 Share Incentive Plan (“2019 Plan”). The 2019 Plan provides for the grant of incentive share options, nonqualified share options, share appreciation rights, restricted share awards (“RSAs”), restricted share units (“RSUs”), other share-based awards and performance awards. The share reserve under the 2019 Plan is automatically increased on the first day of each fiscal year, beginning with the fiscal year ended December 31, 2020 and will continue until, and including, the fiscal year ending December 31, 2029. The number of shares added annually is equal to the lowest of 1,320,000 shares, 5% of the number of the Company’s shares outstanding on the first day of such fiscal year, or an amount determined by the Board of Directors. The Company added 1,320,000 shares to the 2019 Plan as of January 1, 2025, under this provision. Due to the Company's noncompliance with Nasdaq Listing Rule 5250(c)(1) (the "Filing Rule") for failure to timely file its Form 10-K for the year ended December 31, 2024, the Company was not able to register these additional shares during 2025 to be issued under the 2019 Plan.</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employees, officers, directors, consultants, and advisors are eligible to receive awards under the 2019 Plan. Incentive share options, however, may only be granted to the Company's employees.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total share-based compensation expense for the three-month periods ended March 31, 2024 and 2025 (unaudited and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3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2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5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8"/>
                <w:szCs w:val="18"/>
                <w:color w:val="auto"/>
              </w:rPr>
            </w:pPr>
          </w:p>
        </w:tc>
      </w:tr>
      <w:tr>
        <w:trPr>
          <w:trHeight w:val="25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42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5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FF0FC"/>
          </w:tcPr>
          <w:p>
            <w:pPr>
              <w:spacing w:after="0"/>
              <w:rPr>
                <w:sz w:val="21"/>
                <w:szCs w:val="21"/>
                <w:color w:val="auto"/>
              </w:rPr>
            </w:pPr>
          </w:p>
        </w:tc>
      </w:tr>
      <w:tr>
        <w:trPr>
          <w:trHeight w:val="628"/>
        </w:trPr>
        <w:tc>
          <w:tcPr>
            <w:tcW w:w="4240" w:type="dxa"/>
            <w:vAlign w:val="bottom"/>
            <w:tcBorders>
              <w:top w:val="single" w:sz="8" w:color="CFF0FC"/>
            </w:tcBorders>
          </w:tcPr>
          <w:p>
            <w:pPr>
              <w:spacing w:after="0"/>
              <w:rPr>
                <w:sz w:val="24"/>
                <w:szCs w:val="24"/>
                <w:color w:val="auto"/>
              </w:rPr>
            </w:pPr>
          </w:p>
        </w:tc>
        <w:tc>
          <w:tcPr>
            <w:tcW w:w="3000" w:type="dxa"/>
            <w:vAlign w:val="bottom"/>
            <w:tcBorders>
              <w:top w:val="single" w:sz="8" w:color="CFF0FC"/>
            </w:tcBorders>
          </w:tcPr>
          <w:p>
            <w:pPr>
              <w:jc w:val="right"/>
              <w:ind w:right="143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-933450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-916305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time-based share options typically have a contractual term of ten years from grant date and typically vest over a four-year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compensation expense associated with its time-based share options on a straight-line basis over the requisite service period.</w:t>
      </w:r>
    </w:p>
    <w:p>
      <w:pPr>
        <w:spacing w:after="0" w:line="9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option activity for the Company’s share incentive plans for the three-month period ended March 31, 2025 (unaudited):</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5,418,312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(9,438)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(21,375)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5,387,499</w:t>
            </w:r>
          </w:p>
        </w:tc>
        <w:tc>
          <w:tcPr>
            <w:tcW w:w="1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FF0FC"/>
            </w:tcBorders>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2025</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3,191,157</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12.14</w:t>
            </w:r>
          </w:p>
        </w:tc>
        <w:tc>
          <w:tcPr>
            <w:tcW w:w="13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540" w:type="dxa"/>
            <w:vAlign w:val="bottom"/>
            <w:tcBorders>
              <w:bottom w:val="single" w:sz="8" w:color="CFF0FC"/>
            </w:tcBorders>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gridSpan w:val="2"/>
            <w:shd w:val="clear" w:color="auto" w:fill="CFF0FC"/>
          </w:tcPr>
          <w:p>
            <w:pPr>
              <w:ind w:left="1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March 31, 2025</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5,284,727</w:t>
            </w:r>
          </w:p>
        </w:tc>
        <w:tc>
          <w:tcPr>
            <w:tcW w:w="160" w:type="dxa"/>
            <w:vAlign w:val="bottom"/>
          </w:tcPr>
          <w:p>
            <w:pPr>
              <w:spacing w:after="0"/>
              <w:rPr>
                <w:sz w:val="17"/>
                <w:szCs w:val="17"/>
                <w:color w:val="auto"/>
              </w:rPr>
            </w:pPr>
          </w:p>
        </w:tc>
        <w:tc>
          <w:tcPr>
            <w:tcW w:w="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9.81</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-496570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-187960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-170815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share options. There were no share options granted during the three-month period ended March 31, 2025.</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share options is estimated using the following weighted-average assumptions (unaudited):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tcBorders>
              <w:bottom w:val="single" w:sz="8" w:color="auto"/>
            </w:tcBorders>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71.9%</w:t>
            </w:r>
          </w:p>
        </w:tc>
        <w:tc>
          <w:tcPr>
            <w:tcW w:w="15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8"/>
                <w:szCs w:val="18"/>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 of options granted</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At March 31, 2025, there was $8.0 million in unrecognized pre-tax share-based compensation expense, net of estimated forfeitures, related to unvested time-based share option awards. The unrecognized share-based compensation expense is expected to be recognized through the second quarter of 2028 (unaudited).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Company's time-based RSUs typically vest over a four-year period. The Company recognizes compensation expense associated with its time-based RSUs on a straight-line basis over the four-year requisite service period.</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restricted shares activity for the Company’s share incentive plan for the three-month period ended March 31, 2025 (unaudited):</w:t>
      </w:r>
    </w:p>
    <w:p>
      <w:pPr>
        <w:sectPr>
          <w:pgSz w:w="11900" w:h="16838" w:orient="portrait"/>
          <w:cols w:equalWidth="0" w:num="1">
            <w:col w:w="11240"/>
          </w:cols>
          <w:pgMar w:left="320" w:top="11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RSU balance at December 31, 2024 </w:t>
      </w:r>
      <w:r>
        <w:rPr>
          <w:rFonts w:ascii="Times New Roman" w:cs="Times New Roman" w:eastAsia="Times New Roman" w:hAnsi="Times New Roman"/>
          <w:sz w:val="23"/>
          <w:szCs w:val="23"/>
          <w:color w:val="auto"/>
          <w:vertAlign w:val="superscript"/>
        </w:rPr>
        <w:t>1</w:t>
      </w:r>
    </w:p>
    <w:p>
      <w:pPr>
        <w:ind w:left="620"/>
        <w:spacing w:after="0"/>
        <w:rPr>
          <w:sz w:val="20"/>
          <w:szCs w:val="20"/>
          <w:color w:val="auto"/>
        </w:rPr>
      </w:pPr>
      <w:r>
        <w:rPr>
          <w:rFonts w:ascii="Times New Roman" w:cs="Times New Roman" w:eastAsia="Times New Roman" w:hAnsi="Times New Roman"/>
          <w:sz w:val="18"/>
          <w:szCs w:val="18"/>
          <w:color w:val="auto"/>
        </w:rPr>
        <w:t>RSUs granted</w:t>
      </w:r>
    </w:p>
    <w:p>
      <w:pPr>
        <w:spacing w:after="0" w:line="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RSUs vested</w:t>
      </w:r>
    </w:p>
    <w:p>
      <w:pPr>
        <w:ind w:left="620"/>
        <w:spacing w:after="0" w:line="219" w:lineRule="auto"/>
        <w:rPr>
          <w:sz w:val="20"/>
          <w:szCs w:val="20"/>
          <w:color w:val="auto"/>
        </w:rPr>
      </w:pPr>
      <w:r>
        <w:rPr>
          <w:rFonts w:ascii="Times New Roman" w:cs="Times New Roman" w:eastAsia="Times New Roman" w:hAnsi="Times New Roman"/>
          <w:sz w:val="18"/>
          <w:szCs w:val="18"/>
          <w:color w:val="auto"/>
        </w:rPr>
        <w:t xml:space="preserve">RSUs forfeited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RSU balance at March 31, 2025 </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60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1,263,210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(106,141)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4"/>
        </w:trPr>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(51,207)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1,105,862</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-719455</wp:posOffset>
            </wp:positionV>
            <wp:extent cx="634365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4365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-445135</wp:posOffset>
            </wp:positionV>
            <wp:extent cx="634365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4365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-161925</wp:posOffset>
            </wp:positionV>
            <wp:extent cx="634365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43650" cy="16256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6720" w:space="720"/>
            <w:col w:w="3800"/>
          </w:cols>
          <w:pgMar w:left="320" w:top="1199" w:right="339" w:bottom="1440" w:gutter="0" w:footer="0" w:header="0"/>
          <w:type w:val="continuous"/>
        </w:sectPr>
      </w:pPr>
    </w:p>
    <w:p>
      <w:pPr>
        <w:ind w:left="620" w:hanging="103"/>
        <w:spacing w:after="0" w:line="205" w:lineRule="auto"/>
        <w:tabs>
          <w:tab w:leader="none" w:pos="6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time-based RSUs and the performance-based RSUs for which a grant date has been established, as described below.</w:t>
      </w:r>
    </w:p>
    <w:p>
      <w:pPr>
        <w:spacing w:after="0" w:line="9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Of the 106,141 RSUs vested, the Company withheld 28,568 of those shares to pay the employees’ portion of the minimum payroll withholding taxes due at vesting.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19" w:name="page20"/>
    <w:bookmarkEnd w:id="19"/>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RSUs is based on the fair value of the Company's ordinary shares on the grant date. There were no RSUs granted during the three-month period ended March 31, 2025.</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there was $3.7 million in unrecognized pre-tax compensation expense, net of estimated forfeitures, related to unvested time-based restricted share units. The unrecognized compensation expense is expected to be recognized through the fourth quarter of 2028 (unaudited).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share awards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performance-based share awards were awarded to select executive officers of the Company. The awards contained a performance-based vesting criteria and included 60,000 share options and 135,000 restricted share units. The performance-based awards had two separate annual performance periods, with 50% of the performance-based awards vesting over each of the annual performance periods ended on December 31, 2023 ("First Performance Period") and December 31, 2024 ("Second Performance Period") if the performance goal was met. If the performance goal for that performance period was not met, the performance-based awards did not vest and were forfeited. The performance goal was based on the Company's adjusted earnings per share, as publicly reported by the Company, for each performance period. The method used to measure the fair value of the performance-based awards is consistent with the methods used to measure the fair value of time-based share options and RSUs, as described above.</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January 29, 2024, the Compensation Committee determined the performance goals for the First Performance Period were not achieved and the total potential shares of 62,500 RSUs were forfeited (unaudited).</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February 4, 2025, the Compensation Committee determined the performance goals for the Second Performance Period were not achieved and the total potential shares of 37,500 RSUs were forfeited (unaudited).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share purchase plan</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2019, the Company’s Board of Directors adopted, and its shareholders approved, the Employee Share Purchase Plan (“ESPP”). The ESPP was effective on June 25, 2019, and the initial offering period of six months commenced on January 1, 2021. The current offering period of six months commenced on July 1, 2024 and runs through December 31, 2024. The purchase price of the shares is 85% of the lower of the fair market value of the Company’s ordinary shares on the first trading day of the offering period and the purchase date. The ESPP includes an annual increase to the shares available for sale on the first day of each fiscal year beginning in 2020, equal to the lesser of 275,000 shares, 1% of the outstanding shares as of the last day of the immediately preceding fiscal year, or such other amount as the administrator may determine. The Company added 275,000 shares to the ESPP as of January 1, 2025, under this provision. Due to the Company's noncompliance with the Filing Rule, the Company did not register any additional shares in 2025 for the ESPP. In addition, effective January 1, 2025, management temporarily suspended the ESPP program.</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three-month period ended March 31, 2024, the Company recognized $0.2 million of share-based compensation expense related to the ESPP.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recognize share-based compensation expense related to the ESPP for the three-month period ended March 31, 2025 (unaudited).</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10. Loss per share</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outstanding during the period. Diluted net earnings per share is computed using the treasury method by giving effect to all potentially dilutive ordinary share equivalents outstanding for the period. For purposes of this calculation, share options, RSUs, and ESPP awards are considered to be ordinary share equivalents but are excluded from the calculation of diluted loss per share when including them would have an anti-dilutive effect. Performance-based share awards are only included in the calculation of diluted loss per share if the performance metric would have been achieved as of March 31, 2025 if that had been the end of the contingency period. The following table sets forth the computation of basic and diluted net loss per share (unaudited and in thousands, except for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08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(18,448)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(12,016)</w:t>
            </w:r>
          </w:p>
        </w:tc>
      </w:tr>
      <w:tr>
        <w:trPr>
          <w:trHeight w:val="20"/>
        </w:trPr>
        <w:tc>
          <w:tcPr>
            <w:tcW w:w="7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27,849,604</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28,628,651</w:t>
            </w:r>
          </w:p>
        </w:tc>
        <w:tc>
          <w:tcPr>
            <w:tcW w:w="12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4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27,849,604</w:t>
            </w:r>
          </w:p>
        </w:tc>
        <w:tc>
          <w:tcPr>
            <w:tcW w:w="3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28,628,651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7"/>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(0.42)</w:t>
            </w: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diluted</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(0.66)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-299720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-282575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the computation of diluted loss per share for the three-month periods ended March 31, 2024 and 2025, the Company did not include any share equivalents because their inclusion would have been anti-dilutive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Due to forecasting uncertainty for 2024 and 2025, the Company's provision for income taxes at March 31, 2024 and March 31, 2025 is based on the 3-month year-to-date actual results. The Company recorded a provision for income taxes of $1.9 million for the three-month period ended March 31, 2024 and a provision for income taxes of $0.4 million for the three-month period ended March 31, 2025, with an effective tax rate of (11.7)% and (3.2)%, respectively. For the three-month period ended March 31, 2024, the Company's effective tax rate of (11.7)% was different from the statutory rate of 21.0%, primarily due to establishment of a deferred tax liability on hypothetical withholding tax on non-permanent investment in subsidiaries. For the three-month period ended March 31, 2025, the Company’s effective tax rate of (3.2)% was different from the statutory rate of 21.0%, primarily due to an increase in the valuation allowance on the net deferred tax assets of the UK company, maintaining a full valuation allowance on the net deferred tax assets.</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applying the statutory tax rate in the effective income tax rate reconciliation, the Company used the statutory U.S. federal income tax rate of 21% rather than the Cayman Islands zero percent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recognizes the fair value for guarantee and indemnification arrangements it issues or modifies, if these arrangements are within the scope of authoritative accounting guidance. In addition, the Company must continue to monitor the conditions that are subject to the guarantees and indemnifications in order to identify if a loss has been incurred. If the Company determines it is probable that a loss has occurred, then any such estimated loss would be recognized under those guarantees and indemnifications and would be recognized in the Company’s consolidated statements of operations and comprehensive loss and corresponding consolidated balance sheets during that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credit agreement</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Amended Credit Agreement contains customary provisions with respect to the consequences of a “Default” or “Event of Default” as defined therein, including a restriction on the ability to access further borrowings as well as other customary rights and remedies available to the lender upon a Default or Event of Default. These include the ability to impose a default rate interest rate, prohibiting us from reinvesting asset sale proceeds, limiting repayment of intercompany debt and investment in non-loan party subsidiaries, limiting acquisitions, certain asset sales and assumption of indebtedness, and acceleration of the outstanding obligations and exercise of other remedies under the Amended Credit Agreement, among other customary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with contract manufacturers and suppliers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purchases components from a variety of suppliers and use contract manufacturers to provide manufacturing services for our products and issue purchase orders for these products and services. During the normal course of business, in order to manage manufacturing lead times and help ensure adequate component supply, the Company enters into agreements with contract manufacturers and suppliers that allow them to procure inventory and components based upon criteria as defined by us, such as forecasted demand. The Company may be liable to purchase excess product or aged material from its suppliers following reasonable mitigation efforts. The Company establishes a loss on supplier commitments liability for all product the supplier has procured for which the Company does not expect it will sell. Such loss on purchase commitment liability is included in Accrued liabilities and Other noncurrent liabilities on the Company's consolidated balance sheets, based on the timing of when the liability is expected to be resolved.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2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offers a standard warranty on its products, with the term depending on the product, and records a liability for the estimated future costs associated with potential warranty claims. The Company’s responsibility under its standard warranty is the repair or replacement of in-warranty defective product, or to credit the purchase price of the defective product, at its discretion, without charge to the customer. The Company’s estimate of future warranty costs is largely based on historical experience factors including product failure rates, material usage, and service delivery cost incurred in correcting product failures. The standard warranty is included in either Other current liabilities or Other noncurrent liabilities on the Company's consolidated balance sheets, depending on the time period covered by the warranty. The Company also offers an extended warranty for purchase that represents a future performance obligation for the Company. The extended warranty is included in deferred revenues (both current and noncurrent) on the consolidated balance sheets and recognized on a straight-line basis over the term of the extended warranty. The warranty costs are reflected in the Services cost of revenues on the consolidated statements of operations and comprehensive loss.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generally indemnifies its distributors against claims brought by a third party to the extent any such claim alleges that the Company’s product infringes a patent, copyright or trademark or violates any other proprietary rights of that third party. Although the Company generally tries to limit the maximum amount of potential future liability under its indemnification obligations, in certain agreements this liability may be unlimited. The maximum potential amount of future payments the Company may be required to make under these indemnification agreements is not estimable. The Company did not make any payments under indemnification agreements for the three-months periods ended March 31, 2024 or 2025 (unaudited).</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indemnifies its directors and officers and select key employees, including key employees serving as directors or officers of the Company’s subsidiaries, for certain events or occurrences, subject to certain limits, while the director or officer is or was serving at the Company’s request in such capacity. The term of the indemnification period is for the director’s or officer’s term of service. The Company may terminate the indemnification agreements with its directors, officers or key employees upon the termination of their services as directors or officers of the Company or its subsidiaries, or the termination of activities for which indemnification has been provided, but termination will not affect claims for indemnification related to events occurring prior to the effective date of termination. The maximum amount of potential future indemnification is unlimited; however, the Company has a director and officer insurance policy that limits its exposure. The Company believes the fair value of these indemnification agreements is minimal.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Third parties may from time to time assert legal claims against the Company. The Company records accruals for loss contingencies to the extent that it concludes it is probable that a liability has been incurred and the amount of the related loss can be reasonably estimated. The Company evaluates, on a regular basis, developments in legal proceedings and other matters that could cause a change in amounts recorded. Due to the inherent uncertainty involving legal matters, the ultimate resolution could differ from amounts recorded. There is no pending or threatened legal proceedings to which the Company is a party, that in the Company’s opinion, is likely to have a material adverse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reportable segment providing fixed wireless broadband and Wi-Fi networking infrastructure solutions. This segment generates revenue primarily from the sale of hardware products, but also includes revenues from software products, extended warranty and subscription services.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firstLine="509"/>
        <w:spacing w:after="0" w:line="258" w:lineRule="auto"/>
        <w:rPr>
          <w:sz w:val="20"/>
          <w:szCs w:val="20"/>
          <w:color w:val="auto"/>
        </w:rPr>
      </w:pPr>
      <w:r>
        <w:rPr>
          <w:rFonts w:ascii="Times New Roman" w:cs="Times New Roman" w:eastAsia="Times New Roman" w:hAnsi="Times New Roman"/>
          <w:sz w:val="18"/>
          <w:szCs w:val="18"/>
          <w:color w:val="auto"/>
        </w:rPr>
        <w:t>In its operation of the business, management, including our chief operating decision maker (“CODM”) who is also our Chief Executive Officer (“CEO”), reviews financial information regularly at the consolidated level. Net loss is used as the metric for purposes of allocating resources and evaluating performance. The CODM monitors forecast versus actual net loss for purposes of determining the general health of the Company and assessing the performance of the Company as compared to management's expectations. The Company does not have any intra-entity sales or transfers. Significant expenses reviewed by the CODM include those that are presented in the consolidated statements of operations and comprehensive loss.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14. Revenues from contracts with customers for additional information about the Company's revenues by product category and geography.</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the Company operates solely within one segment, total assets, property and equipment, net and software, net are reported at the consolidated level on the consolidated balance sheets. The Company's assets include both current and long-lived assets. As of December 31, 2024 and March 31, 2025, segment assets were equal to total consolidated assets included in the consolidated balance sheets of $173.7 million and $159.3 million, respectively.</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Company's long-lived assets, including the Company's property and equipment, software, operating lease right-of-use assets, goodwill and intangibles, and noncurrent assets, but excluding deferred tax assets, recognized in the consolidated balance sheets were geographically located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7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r>
      <w:tr>
        <w:trPr>
          <w:trHeight w:val="191"/>
        </w:trPr>
        <w:tc>
          <w:tcPr>
            <w:tcW w:w="7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(Unaudited)</w:t>
            </w:r>
          </w:p>
        </w:tc>
      </w:tr>
      <w:tr>
        <w:trPr>
          <w:trHeight w:val="23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20,303</w:t>
            </w: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20" w:type="dxa"/>
            <w:vAlign w:val="bottom"/>
          </w:tcPr>
          <w:p>
            <w:pPr>
              <w:spacing w:after="0"/>
              <w:rPr>
                <w:sz w:val="20"/>
                <w:szCs w:val="20"/>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color w:val="auto"/>
        </w:rPr>
        <w:t>Depreciation and amortization, impairment, property and equipment additions and capital software additions are reported at the consolidated level on the consolidated statements of cash flows. Additional significant non-cash items include the following (unaudited and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762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tcBorders>
              <w:top w:val="single" w:sz="8" w:color="auto"/>
            </w:tcBorders>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inventory excess and obsolescence</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Revenues from contracts with customers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Revenues consist primarily of revenues from the sale of hardware products. Revenues also include amounts for software products, extended warranty on hardware products and software subscription services. Substantially all products are sold through distributors and other channel partners, such as resellers and systems integrators.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to reflect the transfer of control of promised products or services to a customer in an amount that reflects the consideration to which the Company expects to be entitled in exchange for those products or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product category were as follows (unaudited and in thousands, except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Point-to-Multi-Point</w:t>
            </w:r>
          </w:p>
        </w:tc>
        <w:tc>
          <w:tcPr>
            <w:tcW w:w="20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Point-to-Point</w:t>
            </w: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w:t>
            </w: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vMerge w:val="continue"/>
            <w:shd w:val="clear" w:color="auto" w:fill="CFF0FC"/>
          </w:tcPr>
          <w:p>
            <w:pPr>
              <w:spacing w:after="0"/>
              <w:rPr>
                <w:sz w:val="21"/>
                <w:szCs w:val="21"/>
                <w:color w:val="auto"/>
              </w:rPr>
            </w:pPr>
          </w:p>
        </w:tc>
        <w:tc>
          <w:tcPr>
            <w:tcW w:w="1320" w:type="dxa"/>
            <w:vAlign w:val="bottom"/>
            <w:vMerge w:val="continue"/>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260" w:type="dxa"/>
            <w:vAlign w:val="bottom"/>
            <w:vMerge w:val="continue"/>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60" w:type="dxa"/>
            <w:vAlign w:val="bottom"/>
            <w:vMerge w:val="continue"/>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28"/>
        </w:trPr>
        <w:tc>
          <w:tcPr>
            <w:tcW w:w="280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-1812290</wp:posOffset>
            </wp:positionV>
            <wp:extent cx="136525" cy="1365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-1812290</wp:posOffset>
            </wp:positionV>
            <wp:extent cx="137160" cy="1365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652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-933450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-916305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-1079500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-933450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1111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-1079500</wp:posOffset>
            </wp:positionV>
            <wp:extent cx="111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-933450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-916305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-1079500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-933450</wp:posOffset>
            </wp:positionV>
            <wp:extent cx="1117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-916305</wp:posOffset>
            </wp:positionV>
            <wp:extent cx="1117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-1079500</wp:posOffset>
            </wp:positionV>
            <wp:extent cx="111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products are predominately distributed through a third-party logistics providers in the United States, Netherlands and Vietnam. The Company has determined the geographical distribution of product revenues based upon the ship-to destinations.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geography were as follows (unaudited and in thousands, except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88"/>
        </w:trPr>
        <w:tc>
          <w:tcPr>
            <w:tcW w:w="3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60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-903605</wp:posOffset>
            </wp:positionV>
            <wp:extent cx="136525" cy="1365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6525" cy="136525"/>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-903605</wp:posOffset>
            </wp:positionV>
            <wp:extent cx="137160" cy="1365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13652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contract balances as of December 31, 2024 and March 31, 2025 (in thousands):</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5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Pr>
          <w:p>
            <w:pPr>
              <w:spacing w:after="0"/>
              <w:rPr>
                <w:sz w:val="12"/>
                <w:szCs w:val="12"/>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accounts receivable, net of allowance for estimated credit losses</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40,404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35,623</w:t>
            </w:r>
          </w:p>
        </w:tc>
        <w:tc>
          <w:tcPr>
            <w:tcW w:w="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current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80" w:type="dxa"/>
            <w:vAlign w:val="bottom"/>
          </w:tcPr>
          <w:p>
            <w:pPr>
              <w:spacing w:after="0"/>
              <w:rPr>
                <w:sz w:val="18"/>
                <w:szCs w:val="18"/>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80" w:type="dxa"/>
            <w:vAlign w:val="bottom"/>
            <w:shd w:val="clear" w:color="auto" w:fill="CFF0FC"/>
          </w:tcPr>
          <w:p>
            <w:pPr>
              <w:spacing w:after="0"/>
              <w:rPr>
                <w:sz w:val="18"/>
                <w:szCs w:val="18"/>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returns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tcPr>
          <w:p>
            <w:pPr>
              <w:spacing w:after="0"/>
              <w:rPr>
                <w:sz w:val="20"/>
                <w:szCs w:val="20"/>
                <w:color w:val="auto"/>
              </w:rPr>
            </w:pPr>
          </w:p>
        </w:tc>
      </w:tr>
    </w:tbl>
    <w:p>
      <w:pPr>
        <w:spacing w:after="0" w:line="7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Deferred revenue consists of amounts due or received from customers in advance of the Company satisfying performance obligations under contractual arrangements, such as software subscriptions and extended warranty. Deferred revenue is classified as current or noncurrent based on the timing of when revenue will be recognized.</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Accrued sales returns is the estimated amount expected to be returned by customers in relation to product exchanges made as part of the Company’s stock rotation program. This amount is included within Other current liabilities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concentration of credit risk</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Trade accounts receivable represents amounts billed and currently due from customers and amounts earned that are to be billed in the future (e.g., accrued accounts receivable). Included in accrued accounts receivable are software subscription revenues earned in the current period but billed in the following period.</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the credit risk of all customers and regularly monitors credit risk exposure in its trade receivables. The Company’s standard credit terms with its customers are generally net 30 to 60 days. The Company had one customer representing more than 10% of trade receivables at December 31, 2024 and one customer representing more than 10% of trade receivables at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revenue that is expected to be recognized in future periods associated with performance obligations included in a contract that are unsatisfied, or partially satisfied, as of the reporting date. The Company's remaining performance obligations relate primarily to software subscriptions and extended warranty, which are recognized as revenue over time and presented as deferred revenue in the consolidated balance sheets.</w:t>
      </w:r>
    </w:p>
    <w:p>
      <w:pPr>
        <w:spacing w:after="0" w:line="7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amount or timing of recognition of the Company's remaining performance obligations from those disclosed in the Company's Comprehensive Form 10-K for the year ended December 31, 2024 (unaudited).</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three-month period ended March 31, 2025 which was previously included in deferred revenues as of December 31, 2024 was $2.7 million, compared to $2.7 million of revenue recognized during the three-month period ended March 31, 2024, which was previously included in deferred revenues as of December 31, 2023 (unaudited).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 contract</w:t>
      </w:r>
    </w:p>
    <w:p>
      <w:pPr>
        <w:spacing w:after="0" w:line="121"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Sales commissions are incremental costs of obtaining a contract. The Company has elected to recognize these expenses as incurred, as the amortization period of these costs is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w:t>
      </w:r>
    </w:p>
    <w:p>
      <w:pPr>
        <w:spacing w:after="0" w:line="176"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For the three-month periods ended March 31, 2024 and 2025, the Company did not have any material related party transactions to disclose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Restructuring</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2023, the Company initiated two corporate cost reductions plans, the first in August 2023 and the second in November 2023, to better align Cambium's cost structure with current economic conditions and position the Company to achieve near-term and long-term targets to maintain profitability, improve cash flow and maintain a strong balance sheet. The cost reductions include a reduction in the Company's workforce and primarily include one-time termination costs. All costs under these 2023 plans were recognized by December 31, 2024 and reductions under these plans are complete. As of December 31, 2024, the Company had a restructuring liability of $0.06 million related to the November 2023 restructuring, which was included in Accrued liabilities in the Company's consolidated balance sheet and was paid in the first quarter of 2025.</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24, 2025, the Company announced and initiated another cost reduction plan.</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three-month period ended March 31, 2025, the Company incurred additional restructuring charges under the February 2025 plan related to one-time termination costs of approximately $1.5 million which is included in cost of revenues and all operating expense lines in the Company's consolidated statements of operations and comprehensive loss. Through March 31, 2025, the Company paid $1.1 million, which consists of the $0.06 million outstanding at December 31, 2024 plus an additional $1.004 million of the costs incurred during the three-month period ended March 31, 2025. As of March 31, 2025, the Company has a restructuring liability of $0.5 million, which is included in Accrued liabilities in the consolidated balance sheets and is expected to be paid by the second quarter of 2025 (unaudited).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reflects the restructuring liability activity for the three-month period ended March 31, 2025 (unaudited and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liability at December 31, 2024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 February 2025 restructuring</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Costs paid - November 2023 restructuring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paid - February 2025 restructuring</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(1,064)</w:t>
            </w:r>
          </w:p>
        </w:tc>
      </w:tr>
      <w:tr>
        <w:trPr>
          <w:trHeight w:val="250"/>
        </w:trPr>
        <w:tc>
          <w:tcPr>
            <w:tcW w:w="9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liability at March 31, 2025</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Noncompliance</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March 25, 2026, the Company received a written notice that the Nasdaq Hearings Panel (the “Hearings Panel”) had determined to delist the Company's ordinary shares from The Nasdaq Global Market due to the Company's failure to comply with the terms of the Hearings Panel's prior decision. Trading in the Company's ordinary shares was suspended at the open of trading on March 27, 2026. Trading in the Company's ordinary shares under the symbol "CMBMF" on the OTC Expert Market began on March 30, 2026.</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had previously received a deficiency letter from the Listing Qualifications Department (the “Staff”) of the Nasdaq Stock Market LLC (“Nasdaq”) on April 10, 2025, notifying the Company that, it had failed to comply with the $1.00 per share minimum bid price requirement for continued inclusion on The Nasdaq Global Market pursuant to Nasdaq Listing Rule 5450(a)(1) (the “Bid Price Rule”). The Company received additional deficiency letters from the Staff on April 16, 2025, May 22, 2025, August 25, 2025 and November 25, 2025, notifying the Company that it was not in compliance with the requirements of Nasdaq Listing Rule 5250(c)(1) (the "Filing Rule") for failure to timely file its Form 10-K for the year ended December 31, 2024 and its Quarterly reports on Form 10-Q for the periods ended March 31, 2025, June 30, 2025 and September 30, 2025, respectively (the “Delinquent Filing”).</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November 11, 2025, the Company presented its plan of compliance before the Nasdaq Hearings Panel and requested a continued stay of its delisting pending achieving full compliance by filing the Delinquent Filings within the time requested under the plan of compliance. On December 3, 2025, the Company received a decision (the “Decision Letter”) from the Hearings Panel granting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the Company’s request for continued listing of the Company’s ordinary shares, subject to the Company demonstrating compliance with the Bid Price Rule and the Filing Rule, on or before April 16, 2026, but subject to interim filing dates as set forth in the decision.</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December 12, 2025, the Company received a partial compliance letter from the Hearings Panel confirming the Company is in compliance with the Bid Price Rule, although it remained non-compliant with the Filing Rule.</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January 9, 2026, the Company received a further determination letter stating that because the Company did not hold an annual meeting of shareholders within twelve months from the Company's prior fiscal year end as required by Nasdaq Listing Rule 5620(a), the resulting non-compliance serves as an additional basis for delisting the Company's securities.</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was unable to meet the interim filing deadlines set forth in the Decision Letter, and requested extensions to the February 6, 2026 interim deadline, with additional extensions requested to March 16, 2026 and to March 23, 2026 were granted by the Hearing Panel.</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 should be read in conjunction with the consolidated financial statements and related notes thereto of Cambium Networks Corporation (“Cambium”, “we”, “our”, or “us”) included elsewhere in this Quarterly Report on Form 10-Q and with the financial statements and related notes and Management’s Discussion and Analysis in our Comprehensive Form 10-K for the fiscal year ended December 31, 2024, filed with the SEC on April 7, 2026. In our Comprehensive Form 10-K for the fiscal year ended December 31, 2024, we restated financial statements for the three month period ended March 31, 2024. The financial results included herein for this period reflect the impact of the restatement. Results for the three-month period ended March 31, 2025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Cambium Networks is a global technology company that designs, develops, and manufactures fixed wireless and PON/XGSPON based broadband, Wi-Fi, and local area networking ("LAN") switching infrastructure, and security gateway solutions for a wide range of applications, including broadband access, wireless backhaul, Internet of Things ("IoT"), public safety communications, and Wi-Fi access. Our products enable service providers, enterprises, industrial organizations, and governments to deliver exceptional digital experiences and device connectivity, with compelling economics. Our ONE network platform simplifies the management of Cambium Networks' wired and wireless technologies. Our product lines fall into three broad, interrelated categories: Fixed Wireless &amp; fiber Broadband ("FWB"), Enterprise networking, and Subscription and Services.</w:t>
      </w:r>
    </w:p>
    <w:p>
      <w:pPr>
        <w:spacing w:after="0" w:line="79" w:lineRule="exact"/>
        <w:rPr>
          <w:sz w:val="20"/>
          <w:szCs w:val="20"/>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FWB portfolio spans point-to-point ("PTP") and point-to-multi-point ("PMP") architectures over multiple standards, and frequency bands, including licensed, unlicensed, and lightly licensed spectrum, and fiber products. During 2024, both our PMP4600 and PMP 450v platforms received Federal Communications Commission ("FCC") approval to operate in the recently released 6 GHz band in conjunction with our approved Automated Frequency Coordination ("AFC") service.</w:t>
      </w:r>
    </w:p>
    <w:p>
      <w:pPr>
        <w:spacing w:after="0" w:line="72"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The Enterprise portfolio includes a complete range of indoor and outdoor Wi-Fi access points, indoor and hardened copper and optical-based Ethernet switches, and security gateway and software-defined wide area network ("SD-WAN") devices. During 2024, we introduced our first Wi-Fi 7 access point, the X7-35X, which was supplemented by the X7-53X and X7-55X in September 2025. These three Wi-Fi 7 access points will be complemented with a broad range of indoor and outdoor Wi-Fi 7 solutions as the industry transition to Wi-Fi 7 occurs.</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Subscription and Services portfolio includes network planning and design, and cloud or on-premises network management and control solutions. The latter capability, delivered through subscription to cnMaestro™ X, forms the foundation of our ONE Network, a cloud-based network management architecture that allows users to remotely configure, monitor, and manage their wired and wireless networks. It provides a single, centralized view of all Cambium Network devices, and real-time performance and usage data, allowing users to control and optimize network configuration and settings. Advanced services offered in conjunction with this platform include application visibility and control, which is used to optimize end-user experiences; and "Assurance" which allows network administrators the ability to rapidly troubleshoot network issues using Artificial Intelligence ("AI")-powered root cause analysis with proactive resolution, ensuring service level agreements are met and preventing client impact. The Network Service Edge ("NSE"), an integrated security gateway and SD-WAN service for small and medium businesses, may also be associated with a subscription for network security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Macroeconomic factors such as higher interest rates and inflationary pressures, which impact private sector capital investment, and concerns about a global economic slowdown and geopolitical conditions have added to the softened demand for our products and services that we experienced over 2023 and 2024 coming out of the pandemic, and increased our cost of revenues and impacted, and may continue to impact, our gross margin. We continue to see a high level of competition in our industry due to slower demand and aggressive pricing. We also see increased competition and pricing pressure from new competitors such as Starlink significantly driving down global connectivity prices, with satellite bandwidth costs dropping roughly 77% over the last five years due to its rapid constellation deployment and lower manufacturer costs. We have also seen increased competition from mobile network operators who are using excess capacity in their mobile network to address fixed wireless broadband needs, and from original design manufacturers who are trying to increase their market share by selling directly to major telecommunications providers. We believe that these market pressures will continue to negatively impact revenues and gross margins for the foreseeable future. We may continue to face risks of technology shifts that could result in inventory becoming obsolete before it is deployed, including as the industry continues its shift to Wi-Fi 7.</w:t>
      </w:r>
    </w:p>
    <w:p>
      <w:pPr>
        <w:spacing w:after="0" w:line="8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also impacted by the increases in the prices of memory chips from our semiconductor suppliers. Prices for memory chips have increased rapidly for newer generations of memory, which has had an impact on the supply of current memory, impacting components for both Wi-Fi 7 and Wi-Fi 6. We expect this to continue for the foreseeable future due to the scaling of AI data centers.</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spent 2025 moving production of select products from a third-party manufacturer in Mexico, to a third-party manufacturer in Thailand. The move has been challenged by logistics and production issues due to the complexity of the impacted products as well</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ind w:right="400"/>
        <w:spacing w:after="0" w:line="282" w:lineRule="auto"/>
        <w:rPr>
          <w:sz w:val="20"/>
          <w:szCs w:val="20"/>
          <w:color w:val="auto"/>
        </w:rPr>
      </w:pPr>
      <w:r>
        <w:rPr>
          <w:rFonts w:ascii="Times New Roman" w:cs="Times New Roman" w:eastAsia="Times New Roman" w:hAnsi="Times New Roman"/>
          <w:sz w:val="18"/>
          <w:szCs w:val="18"/>
          <w:color w:val="auto"/>
        </w:rPr>
        <w:t>as challenges present when utilizing a new manufacturer. While the majority of impacted products are in production, issues of scale, yield and supply chain continue to limit our ability to meet customer demand, and this may continue into 2026.</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continue to monitor the impact of macroeconomic factors, including a potential global recession, inflationary pressures, monetary policy shifts, trade wars, and growing political tensions globally that continue to impact our industry and our business. We also believe that our customers continue to grapple with the impact of these macroeconomic factors on their businesses and future investment plans, leading to business uncertainty and a more constrained approach to forecasts and orders, and decreasing visibility into customer demand. Any prolonged economic disruptions, continued uncertainty over global trade wars, as well as further deterioration in the global economy or continued outbreaks of international hostilities could have a negative impact on demand from our customers in future periods.</w:t>
      </w:r>
    </w:p>
    <w:p>
      <w:pPr>
        <w:spacing w:after="0" w:line="7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impact of reverse globalization, including a more nationalistic trend globally leading to increasing government requirements for domestically produced products or limiting the sourcing of components and other products from China and elsewhere, has led us to limit our reliance on third-party manufacturers in China and move manufacturing to other locations, particularly Thailand, which has caused some disruptions in our supply operations, together with the impact of moving manufacture of some products to suppliers who have no recent experience building similar products. Nationalistic trends are occurring in various geographies which may make it impractical for us to do business in some countries.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Default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continue to be out of compliance with financial and other covenants under our Amended Credit Agreement with Bank of America, and such defaults continued through 2025 and into 2026. In addition, we ceased payment of required quarterly principal and interest on the term loan facility and of periodic interest on the revolving credit facility as of June 2025. Such defaults afford the lender the right to declare the amounts outstanding immediately due and payable. We continue to have regular discussions with the lender, we have not been able to obtain a waiver of the defaults from the lender, or otherwise refinance the indebtedness. If the lender were to accelerate the maturity and declare the full outstanding principal and interest immediately due and payable, we would not be able to repay the debt, and therefore, there is substantial uncertainty we would be able to continue as a going concern. Absent acceleration, our Amended Credit Agreement mature on November 17, 2026. Absent an infusion of capital from financing or divestiture, we will be unable to repay this indebtedness when it comes due. Refer to Note 7. Debt, to our consolidated financial statements of this Quarterly Report on Form 10-Q for additional information.</w:t>
      </w:r>
    </w:p>
    <w:p>
      <w:pPr>
        <w:spacing w:after="0" w:line="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continue to take actions to improve our profitability and focus on operating efficiency and therefore are reducing discretionary spending, deferring capital expenditures and implementing cost reductions to align our cost structure with current and expected revenue levels. We are actively seeking additional capital through possible divestitures and/or capital raising transactions and working on accommodation with our lenders to provide us with the financial flexibility needed to meet our obligations as they come due over the next twelve months. Our ability to achieve these objectives depends in part on our expectations regarding macro-conditions in the markets in which we compete, customer acceptance and purchases of our products, buying decisions by our distributors, improvements in our manufacturing challenges with transition to new manufacturers, and other factors that are not all within our control.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course of preparing our financial statements for the fiscal year ended December 31, 2024, we identified material weaknesses in our internal controls over financial reporting that led to errors in the financial statements previously filed for the three-month period ended March 31, 2024. The financial results included herein for the three-month period ended March 31, 2024 reflect the impact of this restatement. Refer to the Explanatory Note and Note 19. Restatement of previously issued unaudited interim financial statements in the Notes to the consolidated financial statements included the Comprehensive Form 10-K for the fiscal year ended December 31, 2024, filed with the SEC on April 7, 2026, for a discussion of the drivers and impact of the restatement.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three-month period ended March 31, 2025</w:t>
      </w:r>
    </w:p>
    <w:p>
      <w:pPr>
        <w:spacing w:after="0" w:line="121"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$33.7 million, a decrease of 28.3% year-over-year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43.3%</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of revenues and operating expenses were $43.3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$9.6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$12.0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revenues are generated primarily from the sale of hardware products with essential embedded software. Our revenues also include amounts for software products, extended warranty on hardware products and subscription services. We generally recognize product revenues at the time of shipment, provided that all other revenue recognition criteria have been met and we measure revenue based on the consideration to which we expect to be entitled based on customer contracts. We recognize subscription services revenue ratably over the term in which the services are provided and our performance obligation is satisfied. Revenues are adjusted for variable consideration amounts, including but not limited to estimated stock returns, customer incentives, and cooperative marketing allowances that we provide to distributors. We provide a standard warranty on our hardware products, with the term depending on the product, and record a liability for the estimated future costs associated with potential warranty claims. In addition, we also offer extended warranties for purchase that represents a future performance obligation for us. The extended warranty is included in deferred revenues and is recognized on a straight-line basis over the term of the extended warranty.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cost of revenues is comprised primarily of the costs of procuring finished goods from our third-party manufacturers, third-party logistics and warehousing provider costs, freight costs, and warranty costs. We outsource our manufacturing to third-party manufacturers located primarily in Thailand, Vietnam, Philippines, and Taiwan. Cost of revenues also includes costs associated with supply operations, including personnel and related allocated overhead costs, provision for excess and obsolete inventory, loss on supplier commitment expense, third-party license costs and third-party costs related to services we provide. Cost of revenues also includes amortization of capitalized software costs associated with products to be sold, and charges for excess and obsolescence and losses on supplier commitments.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Gross profit has been and will continue to be affected by various factors, including changes in product mix. The margin profile of products within each of our core product categories can vary significantly depending on the operating performance, features and manufacturer of the product. Generally, our gross margins on backhaul and fixed wireless access point products are greater than those on our CPE products. Because the ratio of CPE to PTP and PMP access points typically increases as network operators build out the density of their networks, increases in follow-on sales to network operators as a percentage of our total sales generally have a downward effect on our overall gross margins. Finally, gross margin will also vary as a function of changes in pricing due to competitive pressure, our third-party manufacturing and other production costs, cost of shipping and logistics, provision for excess and obsolete inventory, loss on supplier commitments, and other factors. We expect our gross margins will fluctuate from period to period depending on the interplay of these various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classify our operating expenses as research and development, sales and marketing, and general and administrative expense. Personnel costs are the primary component of each of these operating expense categories, which consist of costs such as salaries, sales commissions, benefits, and bonuses, as well as share-based compensation expense. Depreciation and amortization of long-lived assets is separately disclosed in the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to personnel costs, research and development expense consists of costs associated with the design and development of our products, product certification, travel, recruiting, shared facility and shared IT costs. We generally recognize research and development expense as incurred. For certain of our software projects under development, we capitalize the development cost during the period between determining technological feasibility of the product and commercial release. We amortize the capitalized development cost upon commercial release, generally over three years, and include the amortization costs in cost of revenues on our statements of operations. We typically do not capitalize costs related to the development of first-generation product offerings as technological feasibility generally coincides with general availability of the software.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addition to personnel costs for sales, marketing, service and product line management personnel, sales and marketing expenses consist of our training programs, trade shows, marketing programs, promotional materials, demonstration equipment, national and local regulatory approval on our products, travel and entertainment, recruiting and shared facilities and shared IT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addition to personnel-related costs, general and administrative expenses consist of professional fees, such as legal, audit, accounting, information technology and consulting costs, insurance, shared facilities and shared IT costs, and other supporting overhead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depreciation related to fixed assets such as computer equipment, furniture and fixtures, leasehold improvements, and testing equipment, as well as amortization related to acquired software and software for internal use and definite lived intangibles.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taxes consists primarily of income taxes in the jurisdictions in which we conduct business. Management assesses our deferred tax assets in each reporting period, and if it is determined that it is not more likely than not to be realized, we will record a valuation allowance in that period.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consolidated statements of operations, as well as the percentage relationship to total revenues for items included in our consolidated statements of operations for the three-month period ended March 31, 2024 compared to the three-month period ended March 31,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8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auto"/>
            </w:tcBorders>
            <w:vMerge w:val="continue"/>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32"/>
              <w:spacing w:after="0" w:line="156" w:lineRule="exact"/>
              <w:rPr>
                <w:sz w:val="20"/>
                <w:szCs w:val="20"/>
                <w:color w:val="auto"/>
              </w:rPr>
            </w:pPr>
            <w:r>
              <w:rPr>
                <w:rFonts w:ascii="Times New Roman" w:cs="Times New Roman" w:eastAsia="Times New Roman" w:hAnsi="Times New Roman"/>
                <w:sz w:val="15"/>
                <w:szCs w:val="15"/>
                <w:color w:val="auto"/>
              </w:rPr>
              <w:t>(As Restated)</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42,178</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33,063</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3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00" w:type="dxa"/>
            <w:vAlign w:val="bottom"/>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(16,520)</w:t>
            </w:r>
          </w:p>
        </w:tc>
        <w:tc>
          <w:tcPr>
            <w:tcW w:w="3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(18,448)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26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-3899535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-3899535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-3333750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-3333750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-2767965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-2767965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-1940560</wp:posOffset>
            </wp:positionV>
            <wp:extent cx="10287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6944360</wp:posOffset>
            </wp:positionH>
            <wp:positionV relativeFrom="paragraph">
              <wp:posOffset>-1940560</wp:posOffset>
            </wp:positionV>
            <wp:extent cx="192405" cy="3041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2405" cy="30416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-1362075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-1362075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-1079500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left="8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220" w:type="dxa"/>
            <w:vAlign w:val="bottom"/>
          </w:tcPr>
          <w:p>
            <w:pPr>
              <w:jc w:val="center"/>
              <w:ind w:left="348"/>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8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Revenues:</w:t>
            </w:r>
          </w:p>
        </w:tc>
        <w:tc>
          <w:tcPr>
            <w:tcW w:w="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89.6%</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73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r>
      <w:tr>
        <w:trPr>
          <w:trHeight w:val="20"/>
        </w:trPr>
        <w:tc>
          <w:tcPr>
            <w:tcW w:w="73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54.9%</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73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w:t>
            </w: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8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8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62.9%</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7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3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(35.1)%</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3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7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-2982595</wp:posOffset>
            </wp:positionV>
            <wp:extent cx="1460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-2982595</wp:posOffset>
            </wp:positionV>
            <wp:extent cx="1454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-2416810</wp:posOffset>
            </wp:positionV>
            <wp:extent cx="1460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-2416810</wp:posOffset>
            </wp:positionV>
            <wp:extent cx="1454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-1851025</wp:posOffset>
            </wp:positionV>
            <wp:extent cx="146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-1851025</wp:posOffset>
            </wp:positionV>
            <wp:extent cx="1454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-453390</wp:posOffset>
            </wp:positionV>
            <wp:extent cx="1460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1460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three-month period ended March 31, 2024 to the three-month period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(13,051)</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Product revenues decreased $13.1 million, or 30.9%, from $42.2 million for the three-month period ended March 31, 2024, to $29.1 million for the three-month period ended March 31, 2025, with the largest decrease in our point-to-multi-point and point-to-point product categories, mostly driven by both lower demand and timing of orders from distributors.</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Subscriptions and services revenues decreased $0.3 million, or 5.7% from $4.9 million for the three-month period ended March 31, 2024 to $4.6 million for the three-month period ended March 31, 2025. The decrease was primarily due to $0.5 million lower services revenue partially offset by $0.2 million higher software subscriptions revenue due to increased volume of subscriptions.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Revenues by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Point-to-Multi-Point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(5,669)</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Point-to-Point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(5,363)</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Enterprise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(1,820)</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 by product category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(13,328)</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Point-to-Multi-Point</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PMP product revenues decreased $5.7 million, or 30.1%, from the three-month period ended March 31, 2024 to 2025. The decrease in point-to-multi-point revenues was driven by lower revenues in North America, Caribbean and Latin America and Asia Pacific partially offset by higher revenues in Europe, Middle East, Africa, mostly due to both lower demand from our service providers and timing of orders from our distributors, specifically for our 60 GHz, 28 GHz and ePMP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Point-to-Point</w:t>
      </w:r>
    </w:p>
    <w:p>
      <w:pPr>
        <w:spacing w:after="0" w:line="227"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PTP product revenues decreased $5.4 million, or 38.8%, from the three-month period ended March 31, 2024 to 2025 mostly driven by lower demand across all products, but mostly due to lower demand for PTP accessories.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Enterprise</w:t>
      </w:r>
    </w:p>
    <w:p>
      <w:pPr>
        <w:spacing w:after="0" w:line="227"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Enterprise product revenues decreased $1.8 million, or 13.9%, from the three-month period ended March 31, 2024 to 2025. Enterprise revenues increased in all regions, with the largest increase in all regions except North America, with lower demand for Wi-Fi 6 and switching products partially offset by higher demand for Wi-Fi 5 and Wi-Fi 7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(6,748)</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Middle East, Africa</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Caribbean and Latin America</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(3,251)</w:t>
            </w:r>
          </w:p>
        </w:tc>
        <w:tc>
          <w:tcPr>
            <w:tcW w:w="3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(1,842)</w:t>
            </w:r>
          </w:p>
        </w:tc>
        <w:tc>
          <w:tcPr>
            <w:tcW w:w="3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revenues by geography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(13,328)</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4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Revenues decreased in all regions from the three-month period ended March 31, 2024 to March 31, 2025. North America revenues decreased $6.7 million, or 26.8%. The decrease in revenues in North America was driven mostly by decreased PTP revenues primarily due to lower demand for PTP accessories and from defense customers, decreased PMP product revenues primarily due to lower demand for 60 GHz, 28 GHz and ePMP products, partially offset by higher enterprise product revenues driven by improved demand for Wi-Fi 6 and switching products. Europe, Middle East, Africa revenues decreased by $1.5 million, or 11.9%, mostly driven by decreased enterprise product revenues due to lower demand for Wi-Fi 6 and switching products partially offset by increased PMP product revenues across all products and higher PTP revenues driven by higher demand from defense customers. Caribbean and Latin America revenues decreased $3.3 million, or 70.5%, mostly driven by lower PTP and PMP product revenues due to lower demand. Asia Pacific revenues decreased $1.8 million, or 38.5%, mostly driven by decreased PMP and PTP revenues due to lower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27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14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(13,947)</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1450 bps</w:t>
            </w:r>
          </w:p>
        </w:tc>
        <w:tc>
          <w:tcPr>
            <w:tcW w:w="0" w:type="dxa"/>
            <w:vAlign w:val="bottom"/>
          </w:tcPr>
          <w:p>
            <w:pPr>
              <w:spacing w:after="0"/>
              <w:rPr>
                <w:sz w:val="1"/>
                <w:szCs w:val="1"/>
                <w:color w:val="auto"/>
              </w:rPr>
            </w:pPr>
          </w:p>
        </w:tc>
      </w:tr>
      <w:tr>
        <w:trPr>
          <w:trHeight w:val="27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Subscriptions and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00" w:type="dxa"/>
            <w:vAlign w:val="bottom"/>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00" w:type="dxa"/>
            <w:vAlign w:val="bottom"/>
          </w:tcPr>
          <w:p>
            <w:pPr>
              <w:spacing w:after="0"/>
              <w:rPr>
                <w:sz w:val="24"/>
                <w:szCs w:val="24"/>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100 bps</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Cost of revenues for products decreased $13.9 million, or 45.2%, from $30.9 million for the three-month period ended March 31, 2024 to $16.9 million for the three-month period ended March 31, 2025. The decrease in cost of revenues was primarily driven by lower revenues along with a $6.6 million decrease in excess and obsolescence reserve and $3.6 million decrease in loss on supplier commitment expense.</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Cost of revenues for subscriptions and services remained flat from the three-month period ended March 31, 2024 to three-month period ended March 31, 2025.</w:t>
      </w:r>
    </w:p>
    <w:p>
      <w:pPr>
        <w:spacing w:after="0" w:line="162"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Gross margin for products increased from 26.8% for the three-month period ended March 31, 2024 to 41.9% for the three-month period ended March 31, 2025. The increase primarily reflects the impact from the decrease in our excess and obsolescence reserve and loss on supplier commitment expense.</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Gross margin for subscriptions and services decreased from 54.9% for the three-month period ended March 31, 2024 to 51.9% for the three-month period ended March 31, 2025. The decrease primarily reflects the impact of certain fixed costs on lower subscriptions and services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50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54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(1,444)</w:t>
            </w: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(1,303)</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(1,129)</w:t>
            </w:r>
          </w:p>
        </w:tc>
        <w:tc>
          <w:tcPr>
            <w:tcW w:w="3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(1,496)</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29,587</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87"/>
              </w:rPr>
              <w:t>(5,372)</w:t>
            </w:r>
          </w:p>
        </w:tc>
        <w:tc>
          <w:tcPr>
            <w:tcW w:w="2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decreased $1.4 million, or 13.4% from $10.8 million for the three-month period ended March 31, 2024 to $9.4 million for the three-month period ended March 31, 2025. The decrease in research and development expense was primarily due to $0.8 million lower staff-related costs, mostly due to a reduction in headcount from February 2025 restructuring activities, $0.2 million lower outside contractor spend, $0.2 million lower lease related expenses, $0.2 million lower homologation and regulatory spend due to the timing and number of projects and $0.2 million due to lower capitalized software costs and $0.1 million lower engineering material costs, partially offset by $0.3 million higher restructuring cost from the February 2025 restructuring.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Sales and marketing expense decreased $1.3 million, or 13.4%, from $9.7 million for the three-month period ended March 31, 2024 to $8.4 million for the three-month period ended March 31, 2025. The decrease in sales and marketing expense was primarily due to $0.9 million lower staff-related costs, $0.5 million lower variable compensation expense, $0.5 million lower share-based compensation and ESPP expense, $0.2 million lower travel related expense and $0.2 million lower lease related expense, partially offset by $0.7 million higher restructuring cost from the February 2025 restructuring.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decreased $1.1 million, or 15.2%, from $7.4 million for the three-month period ended March 31, 2024 to $6.3 million for the three-month period ended March 31, 2025. The decrease in general and administrative expense was primarily due to $0.5 million lower staff-related costs due to lower headcount, $0.4 million of CFO turnover expense incurred in the first quarter of 2024, $0.4 million lower bad debt expense, $0.3 million lower share-based compensation expense, $0.2 million higher other expenses and $0.1 million lower nonrecurring expense related to the headquarters office move in the first quarter of 2024. The decreases in general and administrative expense were partially offset by $0.6 million higher audit and tax expenses, $0.2 million higher outside contractor spend..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$1.5 million, or 105.8% from $1.6 million for the three-month period ended March 31, 2024 to $0.1 million for the three-month period ended March 31, 2025. This decrease is mostly driven by lower intangible asset amortization and lower depreciation due to our asset impairment write-down in the third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4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64"/>
              <w:spacing w:after="0" w:line="124" w:lineRule="exact"/>
              <w:rPr>
                <w:sz w:val="20"/>
                <w:szCs w:val="20"/>
                <w:color w:val="auto"/>
              </w:rPr>
            </w:pPr>
            <w:r>
              <w:rPr>
                <w:rFonts w:ascii="Times New Roman" w:cs="Times New Roman" w:eastAsia="Times New Roman" w:hAnsi="Times New Roman"/>
                <w:sz w:val="14"/>
                <w:szCs w:val="14"/>
                <w:color w:val="auto"/>
              </w:rPr>
              <w:t>(As Restated)</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Interest expense increased $1.1 million, or 123.7%, from $0.9 million for the three-month period ended March 31, 2024 to $2.0 million for the three-month period ended March 31, 2025. The increase was primarily due to an increase in the interest rate on the term loan and the addition of interest on the revolving credit facility and the 2% penalty assessed on both the term facility and revolving credit facility starting in the fourth quarter of 2024 as a result of the event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980" w:type="dxa"/>
            <w:vAlign w:val="bottom"/>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1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tcPr>
          <w:p>
            <w:pPr>
              <w:jc w:val="center"/>
              <w:ind w:left="124"/>
              <w:spacing w:after="0" w:line="124" w:lineRule="exact"/>
              <w:rPr>
                <w:sz w:val="20"/>
                <w:szCs w:val="20"/>
                <w:color w:val="auto"/>
              </w:rPr>
            </w:pPr>
            <w:r>
              <w:rPr>
                <w:rFonts w:ascii="Times New Roman" w:cs="Times New Roman" w:eastAsia="Times New Roman" w:hAnsi="Times New Roman"/>
                <w:sz w:val="14"/>
                <w:szCs w:val="14"/>
                <w:color w:val="auto"/>
              </w:rPr>
              <w:t>(As Restated)</w:t>
            </w: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Pr>
          <w:p>
            <w:pPr>
              <w:jc w:val="right"/>
              <w:ind w:right="80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59</w:t>
            </w:r>
          </w:p>
        </w:tc>
        <w:tc>
          <w:tcPr>
            <w:tcW w:w="11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Other expense, net expense of $0.1 million for the three-month period ended March 31, 2024 remained flat compared to the three-month period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color w:val="auto"/>
              </w:rPr>
              <w:t>(As Restated)</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(1,550)</w:t>
            </w:r>
          </w:p>
        </w:tc>
        <w:tc>
          <w:tcPr>
            <w:tcW w:w="3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8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Due to forecasting uncertainty for 2024 and 2025, our provision for income taxes at March 31, 2024 and March 31, 2025 is based on 3-month year-to-date actual results. Our provision for income taxes was $1.9 million for the three-month period ended March 31, 2024 versus $0.4 million for the three-month period ended March 31, 2025. The effective income tax rates were (11.7)% and (3.2)% over the same periods, respectively. For the three-month period ended March 31, 2024, the effective tax rate of (11.7)% was different from the statutory rate of 21.0% primarily due to the establishment of a deferred tax liability on hypothetical withholding tax on non-permanent investment in subsidiaries. For the three-month period ended March 31, 2025, our effective tax rate of (3.2)% was different from the statutory rate of 21.0%, primarily due to an increase in the valuation allowance on the net deferred tax assets of the UK company, maintaining a full valuation allowance on the UK deferred tax assets.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we had a cash balance of $27.8 million, a decrease of $7.1 million from December 31, 2024. Our primary liquidity needs are:</w:t>
      </w:r>
    </w:p>
    <w:p>
      <w:pPr>
        <w:spacing w:after="0" w:line="27" w:lineRule="exact"/>
        <w:rPr>
          <w:sz w:val="20"/>
          <w:szCs w:val="20"/>
          <w:color w:val="auto"/>
        </w:rPr>
      </w:pPr>
    </w:p>
    <w:p>
      <w:pPr>
        <w:ind w:right="60" w:firstLine="8"/>
        <w:spacing w:after="0" w:line="252"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normal operating expenses; (ii) to meet interest and principal requirements of our outstanding indebtedness; and (iii) to fund capital expenditures. Our future capital requirements may vary materially from those currently planned and will depend on many factors, including our rate of revenue growth, the timing and extent of spending to support development efforts, the timing of new product introductions, market acceptance of our products and overall economic conditions. We continue to focus on cost management, operating efficiency and efficient discretionary spending. We expect to regularly assess our liquidity needs and market conditions and may raise additional equity or incur additional debt if and when our board of directors determines that doing so is in our best interest.</w:t>
      </w:r>
    </w:p>
    <w:p>
      <w:pPr>
        <w:spacing w:after="0" w:line="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first quarter of 2025, all quarterly principal and interest payments have been made in accordance with the terms of our credit facility with Bank of America. As of March 31, 2025, we were not in compliance with our monthly liquidity covenant for all measurement periods, and our quarterly EBITDA covenant under the credit agreement. Such defaults would afford Bank of America the right to declare the amounts outstanding thereunder immediately due and payable. We continue to work with the bank to address our noncompliance with the covenants. If we are not able to obtain a forbearance or waiver of the defaults or otherwise refinance such indebtedness, and if the lender were to accelerate the maturity of our indebtedness under the Amended Credit Agreement, there is substantial uncertainty we would be able to secure capital resources to repay the amounts due. Please refer to Note 7. Debt in the Notes to the Unaudited Consolidated Financial Statements, regarding our debt outstanding under our credit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summarized cash flow data for the periods indicated (in thousands):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7620</wp:posOffset>
            </wp:positionV>
            <wp:extent cx="21602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83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602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8120"/>
        <w:spacing w:after="0" w:line="232" w:lineRule="auto"/>
        <w:rPr>
          <w:sz w:val="20"/>
          <w:szCs w:val="20"/>
          <w:color w:val="auto"/>
        </w:rPr>
      </w:pPr>
      <w:r>
        <w:rPr>
          <w:rFonts w:ascii="Times New Roman" w:cs="Times New Roman" w:eastAsia="Times New Roman" w:hAnsi="Times New Roman"/>
          <w:sz w:val="14"/>
          <w:szCs w:val="14"/>
          <w:color w:val="auto"/>
        </w:rPr>
        <w:t>(As Restated)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7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(15,882)</w:t>
            </w:r>
          </w:p>
        </w:tc>
        <w:tc>
          <w:tcPr>
            <w:tcW w:w="7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(4,823)</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72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38,672</w:t>
            </w:r>
          </w:p>
        </w:tc>
        <w:tc>
          <w:tcPr>
            <w:tcW w:w="7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three-month period ended March 31, 2024 of $15.9 million consisted of net loss of $18.4 million, adjustments for non-cash charges for depreciation and amortization and other non-cash impacts of $3.4 million, share-based compensation expense of $2.6 million, inventory excess and obsolescence expense of $5.2 million, and adjustments for an increase in deferred tax assets of $1.5 million, along with changes in operating assets and liabilities that resulted in net cash outflows of $10.0 million. The changes in operating assets and liabilities consisted primarily of a $5.3 million higher prepaid expenses, mostly as a result of an increase in supplier prepayments, $4.9 million lower other assets and liabilities due to adjustments for loss on supplier commitments and lower accrual for sales returns and $2.7 million lower accounts payable due to decreased purchases and timing of payments, partially offset by $5.1 million lower inventory as channel inventories are starting to decrease and $1.0 million reduction in accounts receivable.</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three-month period ended March 31, 2025 of $4.8 million consisted primarily of net loss of $12.0 million, adjustments for non-cash charges for depreciation and amortization and other non-cash impacts of $1.0 million, share-based compensation expense of $2.1 million offset by a reduction in inventory excess and obsolescence of $1.4 million, along with changes in operating assets and liabilities that resulted in net cash inflow of $5.6 million. The changes in operating assets and liabilities consisted primarily of $7.0 million reduction in receivables, $5.9 million reduction in inventories and $1.6 million increase in accrued liabilities, partially offset by $3.5 million decrease in accounts payable, $0.8 million reduction in accrued employee compensation, $4.2 million lower other assets and liabilities due to adjustment for loss on supplier commitments and lower accrual for sales returns and $0.8 million increase in prepaid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for both periods presented consisted of capital expenditures for property, equipment, internal use software and capitalized labor costs for software to be marketed for sale in support of the growth of our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three-month period ended March 31, 2024, net cash provided by financing activities of $38.7 million was primarily due to $40.0 million drawn down on the revolver offset by $1.3 million repayment of principal due under the term loan facility with Bank of America, repayment of principal due under the term loan facility with Bank of America and $0.7 million for taxes paid from shares withheld in net settlement of taxes due on vesting of restricted shares issued to our employees partially offset by proceeds received of $1.1 million from the issuance of ordinary shares under our ESPP and $0.5 million from the exercise of share options.</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2025, net cash used by financing activities of $0.7 million was primarily due to repayment of principal due under our term loan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2025, we had $22.1 million outstanding on our term loan facility and $45.0 million outstanding on our revolving credit facility with Bank of America. The effective interest rate on the term loan facility at March 31, 2025 was 10.24% and the weighted-average interest rate on our revolving credit facility was 8.98%. We are required to make quarterly principal payments of $0.7 million under the term credit facility and quarterly interest payments under both the term loan facility and the revolving credit facility. For the first quarter of 2025, all quarterly principal and interest payments have been made in accordance with the terms of the credit agreement.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2025, we were not in compliance with our quarterly fixed charge coverage ratio and quarterly consolidated leverage ratio covenants, and these defaults continued throughout all of 2025, and in June 2025, we ceased paying interest on the term loan and revolving credit facility, resulting in a payment default which is also continuing. Such defaults afford the lender the right to declare the amounts outstanding under our credit agreement immediately due and payable. To provide us with the financing flexibility needed to meet our obligations as they come due over the next twelve months, we are actively seeking additional capital through possible divestitures and/or capital raising transactions and working with the lender to address our covenant non-compliance. If the lender were to accelerate the maturity of our indebtedness under the credit agreement, there is substantial uncertainty that we would be able to secure capital resources to repay the amounts due. Absent acceleration of payment, our term facility and revolving credit facility matures on November 17, 2026, at which time the outstanding principal and interest will be due. Refer to Note 7. Debt, to our unaudited consolidated financial statements in Part I of this Form 10-Q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do not engage in transactions that generate relationships with unconsolidated entities or financial partnerships, such as entities often referred to as variable interest entities, structured finance, or special purpose entities, as part of our ongoing business. Accordingly, our operating results, financial condition and cash flows are not subject to off-balance sheet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consolidated financial statements and the related notes thereto are prepared in accordance with U.S. GAAP. </w:t>
      </w:r>
      <w:r>
        <w:rPr>
          <w:rFonts w:ascii="Times New Roman" w:cs="Times New Roman" w:eastAsia="Times New Roman" w:hAnsi="Times New Roman"/>
          <w:sz w:val="18"/>
          <w:szCs w:val="18"/>
          <w:color w:val="231F20"/>
        </w:rPr>
        <w:t>The preparation of these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statements requires our management to make estimates and assumptions that affect the reported amounts of assets, liabilities, revenues, costs and expense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Please refer to Management’s Discussion and Analysis of Financial Condition and Results of Operations contained in Part II, Item 7 of our Comprehensive Form 10-K for our fiscal year ended December 31, 2024, filed on April 7, 2026, for a more complete discussion of our critical accounting policies and estimates. Since the filing of our Form 10-K, there have been no material changes in our significant accounting estimates from those disclosed therein.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Excluding the impact of changes in interest rates and the uncertainty in the global financial markets, there have been no material changes to our market risk for the three-month period ended March 31, 2025. We conduct business in all parts of the world and are thereby exposed to market risks related to fluctuations in foreign currency exchange rates. The U.S. dollar is the single largest currency in which our revenue contracts are denominated. Any decline in the value of local foreign currencies against the U.S. dollar results in our products and services being more expensive to a potential foreign customer. In those instances where our goods and services have already been sold, receivables may be more difficult to collect. Additionally, in jurisdictions where the revenue contracts are denominated in U.S. dollars and operating expenses are incurred in the local currency, any decline in the value of the U.S. dollar will have an unfavorable impact to operating margins. We have not entered into any foreign currency hedging transactions. We do not purchase or hold any derivative financial instruments for speculation or arbitrage.</w:t>
      </w:r>
    </w:p>
    <w:p>
      <w:pPr>
        <w:spacing w:after="0" w:line="8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do not hold any cash in any investment accounts and all cash is deposited with financial institutions that management believes are of high credit quality. Our cash consists primarily of U.S. dollar denominated demand accounts.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had $22.1 million outstanding on our term loan facility and $45.0 million outstanding on our revolving credit facility as of March 31, 2025. We are exposed to interest rate risk from fluctuations in the Prime Rate that is a component of the interest rate used to calculate interest expense on both the term and revolving credit facilities. Interest accrues on the outstanding principal amount of the term loan facility and revolving credit facility at a rate equal to the Prime Rate plus an applicable margin of 2.25%. At March 31, 2025, the effective interest rate on the term loan was 10.24%. A hypothetical 100-basis point increase in interest rates would result in an additional $0.2 million in interest expense related to the term credit facility per year. At March 31, 2025, the weighted-average interest rate on the revolving credit facility was 9.75%. A hypothetical 100-basis point increase in interest rates would result in an additional $0.5 million in interest expense related to the revolving credit facility per year. These rates do not include an additional 2% default rate penalty that was added on both the term loan and revolving loan facilities as a result of the events of default that first occurred during 2024.</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other material changes in our market risk since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interim principal financial officer, has evaluated the effectiveness of the design and operation of our disclosure controls and procedures (as defined in Rules 13a-15(e) and 15d-15(e) under the Securities and Exchange Act of 1934, as amended, or the Exchange Act), as of March 31, 2025, the end of the period covered by this Quarterly Report on Form 10-Q. Based on such evaluation, our principal executive officer and interim principal financial officer have concluded that, as of such date, our disclosure controls and procedures were not effective because of material weaknesses in our internal control over financial reporting, previously reported in Part II, Item 9A of our Comprehensive Form 10-K for the year ended December 31, 2024, and as described below during the three-month period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disclosed in Item 9A of our Comprehensive Form 10-K for the year ended December 31, 2024, management identified the following material weaknesses in internal controls over financial reporting during the year ended December 31, 2024:</w:t>
      </w:r>
    </w:p>
    <w:p>
      <w:pPr>
        <w:spacing w:after="0" w:line="52" w:lineRule="exact"/>
        <w:rPr>
          <w:sz w:val="20"/>
          <w:szCs w:val="20"/>
          <w:color w:val="auto"/>
        </w:rPr>
      </w:pPr>
    </w:p>
    <w:p>
      <w:pPr>
        <w:ind w:left="1020" w:right="260" w:hanging="503"/>
        <w:spacing w:after="0" w:line="258"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Competency. </w:t>
      </w:r>
      <w:r>
        <w:rPr>
          <w:rFonts w:ascii="Times New Roman" w:cs="Times New Roman" w:eastAsia="Times New Roman" w:hAnsi="Times New Roman"/>
          <w:sz w:val="18"/>
          <w:szCs w:val="18"/>
          <w:color w:val="auto"/>
        </w:rPr>
        <w:t>We did not have sufficient technical accounting expertise and competency within the finance function to appropriately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to complex and non-routine transactions. Specifically, we did not maintain adequate personnel with the appropriate level of knowledge, experience and training to (i) identify accounting issues requiring specialized judgment, (ii) research and interpret relevant accounting guidance, and (iii) design and execute effective controls over the accounting for such transactions. As a result, certain controls designed to prevent or detect misstatements in a timely manner were not operating effectively.</w:t>
      </w:r>
    </w:p>
    <w:p>
      <w:pPr>
        <w:spacing w:after="0" w:line="75" w:lineRule="exact"/>
        <w:rPr>
          <w:rFonts w:ascii="Times New Roman" w:cs="Times New Roman" w:eastAsia="Times New Roman" w:hAnsi="Times New Roman"/>
          <w:sz w:val="18"/>
          <w:szCs w:val="18"/>
          <w:i w:val="1"/>
          <w:iCs w:val="1"/>
          <w:color w:val="auto"/>
        </w:rPr>
      </w:pPr>
    </w:p>
    <w:p>
      <w:pPr>
        <w:ind w:left="1020" w:hanging="503"/>
        <w:spacing w:after="0" w:line="257" w:lineRule="auto"/>
        <w:tabs>
          <w:tab w:leader="none" w:pos="10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Accounting policies and procedures. </w:t>
      </w:r>
      <w:r>
        <w:rPr>
          <w:rFonts w:ascii="Times New Roman" w:cs="Times New Roman" w:eastAsia="Times New Roman" w:hAnsi="Times New Roman"/>
          <w:sz w:val="18"/>
          <w:szCs w:val="18"/>
          <w:color w:val="auto"/>
        </w:rPr>
        <w:t>We did not maintain effective controls over financial reporting related to the design and adequacy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and procedures supporting the identification, estimation, and recording of certain significant accounting estimates, specifically, those related to the evaluation of excess and obsolete inventory, the estimation of expected credit losses, classification of certain supplier prepayments made as current or noncurrent assets and classification of loss on supplier commitment liability as current or noncurrent liabilities; the identification and accounting for variable consideration, and processes and procedures to identify and assess the accounting of non-standard revenue contracts and related terms. Our accounting policies did not provide adequate guidance to ensure that these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matters were consistently identified, evaluated and accounted for in accordance with U.S. GAAP, or that changes in relevant facts and circumstances were appropriately reflected in management's accounting conclusions.</w:t>
      </w:r>
    </w:p>
    <w:p>
      <w:pPr>
        <w:spacing w:after="0" w:line="52" w:lineRule="exact"/>
        <w:rPr>
          <w:sz w:val="20"/>
          <w:szCs w:val="20"/>
          <w:color w:val="auto"/>
        </w:rPr>
      </w:pPr>
    </w:p>
    <w:p>
      <w:pPr>
        <w:ind w:left="1020" w:right="80" w:hanging="503"/>
        <w:spacing w:after="0" w:line="261"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Information technology general controls. </w:t>
      </w:r>
      <w:r>
        <w:rPr>
          <w:rFonts w:ascii="Times New Roman" w:cs="Times New Roman" w:eastAsia="Times New Roman" w:hAnsi="Times New Roman"/>
          <w:sz w:val="18"/>
          <w:szCs w:val="18"/>
          <w:color w:val="auto"/>
        </w:rPr>
        <w:t>We did not maintain effective controls related to the design and operating effectiveness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general controls over systems supporting financial reporting, including controls over logical access, program change management, and information technology operations. These information technology general control deficiencies impacted management's ability to rely on certain automated controls and system-generated reports.</w:t>
      </w:r>
    </w:p>
    <w:p>
      <w:pPr>
        <w:spacing w:after="0" w:line="71" w:lineRule="exact"/>
        <w:rPr>
          <w:rFonts w:ascii="Times New Roman" w:cs="Times New Roman" w:eastAsia="Times New Roman" w:hAnsi="Times New Roman"/>
          <w:sz w:val="18"/>
          <w:szCs w:val="18"/>
          <w:i w:val="1"/>
          <w:iCs w:val="1"/>
          <w:color w:val="auto"/>
        </w:rPr>
      </w:pPr>
    </w:p>
    <w:p>
      <w:pPr>
        <w:ind w:left="1020" w:right="20" w:hanging="503"/>
        <w:spacing w:after="0" w:line="257"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Rebates and returns. </w:t>
      </w:r>
      <w:r>
        <w:rPr>
          <w:rFonts w:ascii="Times New Roman" w:cs="Times New Roman" w:eastAsia="Times New Roman" w:hAnsi="Times New Roman"/>
          <w:sz w:val="18"/>
          <w:szCs w:val="18"/>
          <w:color w:val="auto"/>
        </w:rPr>
        <w:t>We did not maintain effective controls over our rebate and returns programs to ensure they completely identified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relevant contract terms and program features were appropriately evaluated, and that rebate and returns accruals were estimated using reasonable and supportable assumptions that reflect expected customer behavior and historical experience as required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addition, controls were not sufficiently precise to ensure that changes in rebate programs,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sales trends, channel inventory amounts, and other relevant inputs were timely incorporated into the estimation of variable consideration.</w:t>
      </w:r>
    </w:p>
    <w:p>
      <w:pPr>
        <w:spacing w:after="0" w:line="74" w:lineRule="exact"/>
        <w:rPr>
          <w:rFonts w:ascii="Times New Roman" w:cs="Times New Roman" w:eastAsia="Times New Roman" w:hAnsi="Times New Roman"/>
          <w:sz w:val="18"/>
          <w:szCs w:val="18"/>
          <w:i w:val="1"/>
          <w:iCs w:val="1"/>
          <w:color w:val="auto"/>
        </w:rPr>
      </w:pPr>
    </w:p>
    <w:p>
      <w:pPr>
        <w:ind w:left="1020" w:hanging="503"/>
        <w:spacing w:after="0" w:line="257"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Excess and obsolete inventory. </w:t>
      </w:r>
      <w:r>
        <w:rPr>
          <w:rFonts w:ascii="Times New Roman" w:cs="Times New Roman" w:eastAsia="Times New Roman" w:hAnsi="Times New Roman"/>
          <w:sz w:val="18"/>
          <w:szCs w:val="18"/>
          <w:color w:val="auto"/>
        </w:rPr>
        <w:t>We did not maintain effective controls over financial reporting related to the identification, estimation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recording of excess and obsolete inventory reserves for finished goods and component inventory. Specifically, we did not design and maintain effective controls to ensure that inventory items that were excess, slow-moving, or obsolete were identified timely and appropriately evaluated based on remaining lifetime demand, product life cycles, customer requirements, and technological changes. In addition, controls were not sufficiently designed or operating effectively to ensure that inventory reserve estimates were developed using reasonable and supportable assumptions, including consideration of historic sales or usage and remaining lifetime demand.</w:t>
      </w:r>
    </w:p>
    <w:p>
      <w:pPr>
        <w:spacing w:after="0" w:line="74" w:lineRule="exact"/>
        <w:rPr>
          <w:rFonts w:ascii="Times New Roman" w:cs="Times New Roman" w:eastAsia="Times New Roman" w:hAnsi="Times New Roman"/>
          <w:sz w:val="18"/>
          <w:szCs w:val="18"/>
          <w:i w:val="1"/>
          <w:iCs w:val="1"/>
          <w:color w:val="auto"/>
        </w:rPr>
      </w:pPr>
    </w:p>
    <w:p>
      <w:pPr>
        <w:ind w:left="1020" w:right="100" w:hanging="503"/>
        <w:spacing w:after="0" w:line="256"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 accounting. </w:t>
      </w:r>
      <w:r>
        <w:rPr>
          <w:rFonts w:ascii="Times New Roman" w:cs="Times New Roman" w:eastAsia="Times New Roman" w:hAnsi="Times New Roman"/>
          <w:sz w:val="18"/>
          <w:szCs w:val="18"/>
          <w:color w:val="auto"/>
        </w:rPr>
        <w:t>We did not maintain effective controls over the timely identification of impairment triggering events or the proper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evaluation and recording of impairments related to goodwill, intangible assets, and long-lived assets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and ASC 360,</w:t>
      </w:r>
      <w:r>
        <w:rPr>
          <w:rFonts w:ascii="Times New Roman" w:cs="Times New Roman" w:eastAsia="Times New Roman" w:hAnsi="Times New Roman"/>
          <w:sz w:val="18"/>
          <w:szCs w:val="18"/>
          <w:i w:val="1"/>
          <w:iCs w:val="1"/>
          <w:color w:val="auto"/>
        </w:rPr>
        <w:t xml:space="preserve"> Property, Plant and Equipment</w:t>
      </w:r>
      <w:r>
        <w:rPr>
          <w:rFonts w:ascii="Times New Roman" w:cs="Times New Roman" w:eastAsia="Times New Roman" w:hAnsi="Times New Roman"/>
          <w:sz w:val="18"/>
          <w:szCs w:val="18"/>
          <w:color w:val="auto"/>
        </w:rPr>
        <w:t>. Specifically, we did not ensure that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indicating that the carrying amounts of reporting units, asset groups, or individual long-lived assets may not be recoverable were identified and assessed on a timely basis. Additionally, controls were not adequately designed or operating effectively to ensure that, upon identification of a triggering event, appropriate qualitative and quantitative impairment analyses were performed and that any resulting impairment charges were accurately measured and recorded in the appropriate reporting period.</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57"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did not maintain effective controls over the identification, evaluation, and timely recording of valuation allowances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Specifically, controls were not designed or operating effectively to ensure that all available positive and negative evidence relevant to the realizability of deferred tax assets was appropriately identified, evaluated, and monitored on a timely basis. Additionally, we did not maintain effective controls to ensure that changes in facts and circumstances affecting the realizability of deferred tax assets were consistently incorporated into management's conclusions regarding the need for, and amount of, a valuation allowance, or that resulting deferred tax balances were recorded in the appropriate reporting period.</w:t>
      </w:r>
    </w:p>
    <w:p>
      <w:pPr>
        <w:spacing w:after="0" w:line="74" w:lineRule="exact"/>
        <w:rPr>
          <w:rFonts w:ascii="Times New Roman" w:cs="Times New Roman" w:eastAsia="Times New Roman" w:hAnsi="Times New Roman"/>
          <w:sz w:val="18"/>
          <w:szCs w:val="18"/>
          <w:i w:val="1"/>
          <w:iCs w:val="1"/>
          <w:color w:val="auto"/>
        </w:rPr>
      </w:pPr>
    </w:p>
    <w:p>
      <w:pPr>
        <w:ind w:left="1020" w:right="20" w:hanging="503"/>
        <w:spacing w:after="0" w:line="261"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Classification of prepaid supplier payments and loss on commitment liability. </w:t>
      </w:r>
      <w:r>
        <w:rPr>
          <w:rFonts w:ascii="Times New Roman" w:cs="Times New Roman" w:eastAsia="Times New Roman" w:hAnsi="Times New Roman"/>
          <w:sz w:val="18"/>
          <w:szCs w:val="18"/>
          <w:color w:val="auto"/>
        </w:rPr>
        <w:t>We did not maintain effective controls over our classification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prepaid supplier payments and loss on supplier commitment liability. Specifically, controls were not designed or operating effectively to ensure that relevant, available and knowable information was adequately used to determine the appropriate noncurrent portion of the supplier prepayments and loss on supplier commitment liability.</w:t>
      </w:r>
    </w:p>
    <w:p>
      <w:pPr>
        <w:spacing w:after="0" w:line="71" w:lineRule="exact"/>
        <w:rPr>
          <w:rFonts w:ascii="Times New Roman" w:cs="Times New Roman" w:eastAsia="Times New Roman" w:hAnsi="Times New Roman"/>
          <w:sz w:val="18"/>
          <w:szCs w:val="18"/>
          <w:i w:val="1"/>
          <w:iCs w:val="1"/>
          <w:color w:val="auto"/>
        </w:rPr>
      </w:pPr>
    </w:p>
    <w:p>
      <w:pPr>
        <w:jc w:val="both"/>
        <w:ind w:left="1020" w:right="420" w:hanging="503"/>
        <w:spacing w:after="0" w:line="267" w:lineRule="auto"/>
        <w:tabs>
          <w:tab w:leader="none" w:pos="10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Estimate of the allowance for credit losses. </w:t>
      </w:r>
      <w:r>
        <w:rPr>
          <w:rFonts w:ascii="Times New Roman" w:cs="Times New Roman" w:eastAsia="Times New Roman" w:hAnsi="Times New Roman"/>
          <w:sz w:val="18"/>
          <w:szCs w:val="18"/>
          <w:color w:val="auto"/>
        </w:rPr>
        <w:t>We did not maintain effective controls over the evaluation and timely recording of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Specifically, controls were not designed or operating effectively to ensure that certain adjustments to accounts receivable were recorded on a timely basis in the appropriate reporting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Remediation Efforts to Address the Previously Identified Material Weaknesses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with oversight from the Audit Committee of our Board of Directors, is taking steps to remediate the material weaknesses described above by implementing changes to our internal control over financial reporting. Management is in the process of enhancing, and will continue to enhance, the risk assessment process and design and implementation of internal controls over financial reporting. The remediation measures to correct the previously identified material weaknesses include, but are not limited to, the efforts summarized below:</w:t>
      </w:r>
    </w:p>
    <w:p>
      <w:pPr>
        <w:spacing w:after="0" w:line="72" w:lineRule="exact"/>
        <w:rPr>
          <w:sz w:val="20"/>
          <w:szCs w:val="20"/>
          <w:color w:val="auto"/>
        </w:rPr>
      </w:pPr>
    </w:p>
    <w:p>
      <w:pPr>
        <w:ind w:left="1020" w:right="6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personnel and/or continuing to engage contractors and third-party advisors with technical accounting expertise and competency to appropriately apply U.S. GAAP to complex and non-routine transactions.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monitoring of user access and change management by performing comprehensive review of user roles and permissions.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controls over the calculation of the estimate for incentives associated with distributor rebates, particularly as it relates to the completeness and accuracy of the information produced by the entity (IPE) and assumptions used in developing the estimate of future rebates to be issued, as well as control over the information produced, including spreadsheets, reports and data by our IT systems, to develop these estimates.</w:t>
      </w:r>
    </w:p>
    <w:p>
      <w:pPr>
        <w:spacing w:after="0" w:line="71"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controls over the calculation of estimate for sales returns, particularly as it relates to the assumptions used in the estimate of returns to be received.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and accuracy of information used in financial forecasts used to calculate the estimate of excess and obsolete inventory and impairment analysis, particularly as it relates to our assessment of underlying assumptions about demand for our products, together with procedures and documentation to corroborate our assessment of the underlying assumptions about demand for our products.</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accounting for income taxes to ensure the appropriate recording of deferred income taxes, deferred tax valuation allowances and related disclosures. Also, engaging a third-party advisor to assist management in making improvements to our evaluation and documentation of accounting for deferred tax valuation allowances.</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and accuracy of information used in our assessment to determine the appropriate noncurrent portion of the supplier prepayments and loss on supplier commitments liability.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or designing and implementing controls over the completeness of information used in the determination of our allowance for credit losses, particularly as it relates to our assessment of the underlying assumptions about the collectability of aged accounts receivable, together with procedures and documentation to corroborate our assessment of the underlying assumptions about the collectability of aged accounts receivable.</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we continue to evaluate and work to improve our internal control over financial reporting, management may determine to take additional measures to strengthen controls or to modify the remediation measures described above. When fully implemented and operational, we believe the controls we have designed or plan to design will remediate the material weaknesses that we have identified. Following our design and implementation of our remediation efforts, we will need to demonstrate their operating effectiveness. We will not be able to consider the material weakness remediated until the applicable remedial controls operate for a sufficient period of time and our management has concluded, through testing, that our control is operating effectively.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continue working towards implementing processes and procedures to address the material weaknesses noted above. Other than the ongoing remediation activities disclosed above, there were no changes in our internal control over financial reporting identified in management’s evaluation pursuant to Rules 13a-15(e) and 15d-15(e) of the Exchange Act during the period covered by this Quarterly Report on Form 10-Q that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claims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Third parties may from time to time assert legal claims against us. Our industry is characterized by vigorous protection and pursuit of intellectual property rights. A number of companies hold a large number of patents that may cover technology necessary to our products. We have in the past received and expect to continue to receive claims by third parties that we infringe their intellectual property rights. In the opinion of management, we believe we have established adequate accruals pursuant to U.S. generally accepted accounting principles for any expected future liability with respect to pending lawsuits, claims and proceedings, where the nature and extent of any such liability can be reasonably estimated based on presently available information. However, there can be no assurance that the final resolution of any existing or future lawsuits, claims or proceedings will not have a material adverse effect on our business, results of operations, financial conditions, or cash flows.</w:t>
      </w:r>
    </w:p>
    <w:p>
      <w:pPr>
        <w:spacing w:after="0" w:line="81" w:lineRule="exact"/>
        <w:rPr>
          <w:sz w:val="20"/>
          <w:szCs w:val="20"/>
          <w:color w:val="auto"/>
        </w:rPr>
      </w:pPr>
    </w:p>
    <w:p>
      <w:pPr>
        <w:jc w:val="both"/>
        <w:ind w:right="260" w:firstLine="509"/>
        <w:spacing w:after="0" w:line="312" w:lineRule="auto"/>
        <w:rPr>
          <w:sz w:val="20"/>
          <w:szCs w:val="20"/>
          <w:color w:val="auto"/>
        </w:rPr>
      </w:pPr>
      <w:r>
        <w:rPr>
          <w:rFonts w:ascii="Times New Roman" w:cs="Times New Roman" w:eastAsia="Times New Roman" w:hAnsi="Times New Roman"/>
          <w:sz w:val="17"/>
          <w:szCs w:val="17"/>
          <w:color w:val="auto"/>
        </w:rPr>
        <w:t>For additional information, see Note 12. Commitments and contingencies in the Notes to the Consolidated Financial Statements in this Quarterly Report on Form 10-Q and Part I, Item 3. Legal Proceedings in the Company’s Comprehensive Form 10-K for the fiscal year ended December 31,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Item 1A of our Comprehensive Form 10-K for the fiscal year ended December 31, 2024. Additional risks and uncertainties, including risks and uncertainties not presently known to us, or that we currently deem immaterial, could also have an adverse effect on our business, financial condition and/or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March 31, 2025, none of the Company's directors or officers (as defined in Rule 16a-1(f) of the Securities and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gridSpan w:val="5"/>
          </w:tcPr>
          <w:p>
            <w:pPr>
              <w:ind w:left="360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340"/>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900" w:type="dxa"/>
            <w:vAlign w:val="bottom"/>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10060" w:type="dxa"/>
            <w:vAlign w:val="bottom"/>
            <w:tcBorders>
              <w:bottom w:val="single" w:sz="8" w:color="0563C1"/>
            </w:tcBorders>
            <w:gridSpan w:val="4"/>
          </w:tcPr>
          <w:p>
            <w:pPr>
              <w:spacing w:after="0" w:line="169" w:lineRule="exact"/>
              <w:rPr>
                <w:sz w:val="20"/>
                <w:szCs w:val="20"/>
                <w:color w:val="auto"/>
              </w:rPr>
            </w:pPr>
            <w:r>
              <w:rPr>
                <w:rFonts w:ascii="Times New Roman" w:cs="Times New Roman" w:eastAsia="Times New Roman" w:hAnsi="Times New Roman"/>
                <w:sz w:val="18"/>
                <w:szCs w:val="18"/>
                <w:color w:val="0563C1"/>
              </w:rPr>
              <w:t>Certification of Chief Executive Officer Pursuant to Rules 13a-14(a) and 15d-14(a) under the Securities Exchange Act of 1934, as Adopted</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720" w:type="dxa"/>
            <w:vAlign w:val="bottom"/>
            <w:shd w:val="clear" w:color="auto" w:fill="0563C1"/>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420" w:type="dxa"/>
            <w:vAlign w:val="bottom"/>
            <w:gridSpan w:val="2"/>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3720" w:type="dxa"/>
            <w:vAlign w:val="bottom"/>
            <w:shd w:val="clear" w:color="auto" w:fill="0563C1"/>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500" w:type="dxa"/>
            <w:vAlign w:val="bottom"/>
            <w:gridSpan w:val="4"/>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5"/>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563C1"/>
              </w:rPr>
              <w:t>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9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CAMBIUM NETWORKS CORPORATION</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50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2"/>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C. K</w:t>
            </w:r>
            <w:r>
              <w:rPr>
                <w:rFonts w:ascii="Times New Roman" w:cs="Times New Roman" w:eastAsia="Times New Roman" w:hAnsi="Times New Roman"/>
                <w:sz w:val="12"/>
                <w:szCs w:val="12"/>
                <w:color w:val="auto"/>
              </w:rPr>
              <w:t>urk</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Morgan C. Kurk</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50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2"/>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tc>
      </w:tr>
      <w:tr>
        <w:trPr>
          <w:trHeight w:val="187"/>
        </w:trPr>
        <w:tc>
          <w:tcPr>
            <w:tcW w:w="3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Mitchell Cohen</w:t>
            </w:r>
          </w:p>
        </w:tc>
      </w:tr>
      <w:tr>
        <w:trPr>
          <w:trHeight w:val="238"/>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r>
        <w:trPr>
          <w:trHeight w:val="648"/>
        </w:trPr>
        <w:tc>
          <w:tcPr>
            <w:tcW w:w="3520" w:type="dxa"/>
            <w:vAlign w:val="bottom"/>
          </w:tcPr>
          <w:p>
            <w:pPr>
              <w:spacing w:after="0"/>
              <w:rPr>
                <w:sz w:val="24"/>
                <w:szCs w:val="24"/>
                <w:color w:val="auto"/>
              </w:rPr>
            </w:pPr>
          </w:p>
        </w:tc>
        <w:tc>
          <w:tcPr>
            <w:tcW w:w="2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522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Morgan Kurk, certify that:</w:t>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Cambium Networks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 w:leader="none" w:pos="818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9"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Morgan Kurk</w:t>
      </w:r>
    </w:p>
    <w:p>
      <w:pPr>
        <w:spacing w:after="0" w:line="3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Cohen,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Cambium Networks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40" w:val="left"/>
          <w:tab w:leader="none" w:pos="812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9"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3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Cambium Networks Corporation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organ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Morgan Kurk</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Cambium Networks Corporation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itchell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Mitchell Cohen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Roman"/>
      <w:start w:val="2"/>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2026-04-30T16:33:07Z</dcterms:created>
  <dcterms:modified xsi:type="dcterms:W3CDTF">2026-04-30T16:33:07Z</dcterms:modified>
</cp:coreProperties>
</file>